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4901" w14:textId="30A9E9FE" w:rsidR="008C26A2" w:rsidRDefault="008C26A2" w:rsidP="00371D55">
      <w:pPr>
        <w:jc w:val="center"/>
        <w:rPr>
          <w:b/>
          <w:color w:val="000080"/>
          <w:sz w:val="28"/>
          <w:szCs w:val="28"/>
        </w:rPr>
      </w:pPr>
      <w:r w:rsidRPr="008C26A2">
        <w:rPr>
          <w:b/>
          <w:noProof/>
          <w:szCs w:val="24"/>
        </w:rPr>
        <w:drawing>
          <wp:inline distT="0" distB="0" distL="0" distR="0" wp14:anchorId="5323E9B2" wp14:editId="23C92A15">
            <wp:extent cx="1220190" cy="1028700"/>
            <wp:effectExtent l="19050" t="0" r="0" b="0"/>
            <wp:docPr id="3" name="Picture 2" descr="SP LOGOPrima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LOGOPrimary small.jpg"/>
                    <pic:cNvPicPr/>
                  </pic:nvPicPr>
                  <pic:blipFill>
                    <a:blip r:embed="rId14" cstate="print"/>
                    <a:stretch>
                      <a:fillRect/>
                    </a:stretch>
                  </pic:blipFill>
                  <pic:spPr>
                    <a:xfrm>
                      <a:off x="0" y="0"/>
                      <a:ext cx="1219448" cy="1028075"/>
                    </a:xfrm>
                    <a:prstGeom prst="rect">
                      <a:avLst/>
                    </a:prstGeom>
                  </pic:spPr>
                </pic:pic>
              </a:graphicData>
            </a:graphic>
          </wp:inline>
        </w:drawing>
      </w:r>
    </w:p>
    <w:p w14:paraId="41D68766" w14:textId="776027FD" w:rsidR="008C26A2" w:rsidRPr="008C26A2" w:rsidRDefault="008C26A2" w:rsidP="008C26A2">
      <w:pPr>
        <w:pStyle w:val="VacancyHeading"/>
        <w:jc w:val="center"/>
        <w:outlineLvl w:val="0"/>
        <w:rPr>
          <w:noProof/>
          <w:szCs w:val="24"/>
        </w:rPr>
      </w:pPr>
    </w:p>
    <w:p w14:paraId="5E153250" w14:textId="1C4E82E6" w:rsidR="008C26A2" w:rsidRPr="008C26A2" w:rsidRDefault="006D01D6" w:rsidP="002F4E05">
      <w:pPr>
        <w:spacing w:line="240" w:lineRule="auto"/>
        <w:jc w:val="center"/>
        <w:outlineLvl w:val="0"/>
        <w:rPr>
          <w:b/>
          <w:noProof/>
          <w:szCs w:val="24"/>
        </w:rPr>
      </w:pPr>
      <w:r>
        <w:rPr>
          <w:b/>
          <w:noProof/>
          <w:szCs w:val="24"/>
        </w:rPr>
        <w:t xml:space="preserve">Senior </w:t>
      </w:r>
      <w:r w:rsidR="00371D55">
        <w:rPr>
          <w:b/>
          <w:noProof/>
          <w:szCs w:val="24"/>
        </w:rPr>
        <w:t>Assi</w:t>
      </w:r>
      <w:r>
        <w:rPr>
          <w:b/>
          <w:noProof/>
          <w:szCs w:val="24"/>
        </w:rPr>
        <w:t>s</w:t>
      </w:r>
      <w:r w:rsidR="00EF4BB6">
        <w:rPr>
          <w:b/>
          <w:noProof/>
          <w:szCs w:val="24"/>
        </w:rPr>
        <w:t>tant Clerk</w:t>
      </w:r>
    </w:p>
    <w:p w14:paraId="3136469D" w14:textId="77777777" w:rsidR="008C26A2" w:rsidRDefault="008C26A2" w:rsidP="008C26A2">
      <w:pPr>
        <w:rPr>
          <w:b/>
          <w:noProof/>
          <w:szCs w:val="24"/>
        </w:rPr>
      </w:pPr>
    </w:p>
    <w:p w14:paraId="6BD62365" w14:textId="6AD1FA58" w:rsidR="006D01D6" w:rsidRPr="0088205A" w:rsidRDefault="0088205A" w:rsidP="008C26A2">
      <w:pPr>
        <w:rPr>
          <w:b/>
        </w:rPr>
      </w:pPr>
      <w:r w:rsidRPr="0088205A">
        <w:rPr>
          <w:b/>
        </w:rPr>
        <w:t xml:space="preserve">Ref: </w:t>
      </w:r>
      <w:r w:rsidR="0042720E" w:rsidRPr="0042720E">
        <w:t>614545</w:t>
      </w:r>
    </w:p>
    <w:p w14:paraId="39AF2622" w14:textId="5DCEB904" w:rsidR="00371D55" w:rsidRPr="008C4D2E" w:rsidRDefault="00371D55" w:rsidP="00371D55">
      <w:pPr>
        <w:jc w:val="left"/>
      </w:pPr>
      <w:r>
        <w:rPr>
          <w:b/>
        </w:rPr>
        <w:t>Salary r</w:t>
      </w:r>
      <w:r w:rsidRPr="00371D55">
        <w:rPr>
          <w:b/>
        </w:rPr>
        <w:t xml:space="preserve">ange: </w:t>
      </w:r>
      <w:r w:rsidRPr="008C4D2E">
        <w:t>£</w:t>
      </w:r>
      <w:r w:rsidR="009F45D8">
        <w:t>42,066 to £52,679</w:t>
      </w:r>
      <w:r w:rsidR="003C53FC">
        <w:t xml:space="preserve"> per annum</w:t>
      </w:r>
    </w:p>
    <w:p w14:paraId="0F56C1FE" w14:textId="77777777" w:rsidR="00371D55" w:rsidRPr="008C4D2E" w:rsidRDefault="00371D55" w:rsidP="00371D55">
      <w:r w:rsidRPr="00371D55">
        <w:rPr>
          <w:b/>
        </w:rPr>
        <w:t xml:space="preserve">Location: </w:t>
      </w:r>
      <w:r w:rsidRPr="008C4D2E">
        <w:t>Holyrood, Edinburgh</w:t>
      </w:r>
    </w:p>
    <w:p w14:paraId="1F245225" w14:textId="648A8C01" w:rsidR="00BC4446" w:rsidRDefault="00371D55" w:rsidP="00371D55">
      <w:r>
        <w:rPr>
          <w:b/>
        </w:rPr>
        <w:t xml:space="preserve">Working pattern: </w:t>
      </w:r>
      <w:r w:rsidR="009F45D8" w:rsidRPr="009F45D8">
        <w:t xml:space="preserve">This is a </w:t>
      </w:r>
      <w:proofErr w:type="gramStart"/>
      <w:r w:rsidR="009F45D8" w:rsidRPr="009F45D8">
        <w:t>full time</w:t>
      </w:r>
      <w:proofErr w:type="gramEnd"/>
      <w:r w:rsidR="009F45D8" w:rsidRPr="009F45D8">
        <w:t xml:space="preserve"> post. Our normal working week is 37 hours but we currently operate a wide variety of work patterns within the Committee and Chamber teams, successfully balancing lifestyle choices with business requirements. All requests for part time or flexible working hours will be seriously considered.</w:t>
      </w:r>
    </w:p>
    <w:p w14:paraId="7D43105A" w14:textId="10D73BBE" w:rsidR="00D67AD6" w:rsidRPr="000035A7" w:rsidRDefault="00D67AD6" w:rsidP="00371D55">
      <w:r w:rsidRPr="00D67AD6">
        <w:rPr>
          <w:b/>
        </w:rPr>
        <w:t>Assignment:</w:t>
      </w:r>
      <w:r>
        <w:t xml:space="preserve"> until end February 2019</w:t>
      </w:r>
    </w:p>
    <w:p w14:paraId="6BD781D0" w14:textId="2C719A79" w:rsidR="00371D55" w:rsidRDefault="00371D55" w:rsidP="00371D55">
      <w:pPr>
        <w:rPr>
          <w:b/>
        </w:rPr>
      </w:pPr>
      <w:r w:rsidRPr="00A51CAB">
        <w:rPr>
          <w:b/>
        </w:rPr>
        <w:t>Closing date:</w:t>
      </w:r>
      <w:r>
        <w:rPr>
          <w:b/>
        </w:rPr>
        <w:t xml:space="preserve"> </w:t>
      </w:r>
      <w:r w:rsidR="0075306C">
        <w:t xml:space="preserve">midnight, Sunday 7 October </w:t>
      </w:r>
      <w:r w:rsidR="00A51CAB" w:rsidRPr="00A51CAB">
        <w:t>2018</w:t>
      </w:r>
    </w:p>
    <w:p w14:paraId="6358E651" w14:textId="77777777" w:rsidR="009F45D8" w:rsidRDefault="009F45D8" w:rsidP="00371D55">
      <w:pPr>
        <w:rPr>
          <w:b/>
        </w:rPr>
      </w:pPr>
      <w:bookmarkStart w:id="0" w:name="_GoBack"/>
      <w:bookmarkEnd w:id="0"/>
    </w:p>
    <w:p w14:paraId="5D794D50" w14:textId="3E52B4CD" w:rsidR="00371D55" w:rsidRPr="009F45D8" w:rsidRDefault="009F45D8" w:rsidP="008C26A2">
      <w:pPr>
        <w:rPr>
          <w:b/>
        </w:rPr>
      </w:pPr>
      <w:r>
        <w:rPr>
          <w:b/>
        </w:rPr>
        <w:t>About the Parliament</w:t>
      </w:r>
    </w:p>
    <w:p w14:paraId="69B612B0" w14:textId="0220F3D9" w:rsidR="00EF4BB6" w:rsidRDefault="009C6672" w:rsidP="008C26A2">
      <w:pPr>
        <w:tabs>
          <w:tab w:val="center" w:pos="4153"/>
          <w:tab w:val="right" w:pos="8306"/>
        </w:tabs>
        <w:rPr>
          <w:rFonts w:cs="Arial"/>
          <w:color w:val="000000" w:themeColor="text1"/>
        </w:rPr>
      </w:pPr>
      <w:r>
        <w:rPr>
          <w:rFonts w:cs="Arial"/>
          <w:color w:val="000000" w:themeColor="text1"/>
        </w:rPr>
        <w:t xml:space="preserve">The Scottish Parliament </w:t>
      </w:r>
      <w:r w:rsidR="00602F0E">
        <w:rPr>
          <w:rFonts w:cs="Arial"/>
          <w:color w:val="000000" w:themeColor="text1"/>
        </w:rPr>
        <w:t>represents</w:t>
      </w:r>
      <w:r w:rsidR="00602F0E" w:rsidRPr="00602F0E">
        <w:rPr>
          <w:rFonts w:cs="Arial"/>
          <w:color w:val="000000" w:themeColor="text1"/>
        </w:rPr>
        <w:t xml:space="preserve"> the people of Scotland by debating issues of national importance, passing legislation and holding the Scottish Government to account</w:t>
      </w:r>
      <w:r w:rsidR="00602F0E">
        <w:rPr>
          <w:rFonts w:cs="Arial"/>
          <w:color w:val="000000" w:themeColor="text1"/>
        </w:rPr>
        <w:t xml:space="preserve">.  </w:t>
      </w:r>
      <w:r w:rsidR="006D01D6">
        <w:rPr>
          <w:rFonts w:cs="Arial"/>
          <w:color w:val="000000" w:themeColor="text1"/>
        </w:rPr>
        <w:t xml:space="preserve">The business of the Scottish Parliament is conducted in the Chamber and in Committees.  </w:t>
      </w:r>
      <w:r w:rsidR="00EF4BB6" w:rsidRPr="008C26A2">
        <w:rPr>
          <w:rFonts w:cs="Arial"/>
          <w:color w:val="000000" w:themeColor="text1"/>
        </w:rPr>
        <w:t xml:space="preserve">The Chamber is </w:t>
      </w:r>
      <w:r w:rsidR="00781EAE">
        <w:rPr>
          <w:rFonts w:cs="Arial"/>
          <w:color w:val="000000" w:themeColor="text1"/>
        </w:rPr>
        <w:t>where MSPs</w:t>
      </w:r>
      <w:r w:rsidR="00EF4BB6" w:rsidRPr="008C26A2">
        <w:rPr>
          <w:rFonts w:cs="Arial"/>
          <w:color w:val="000000" w:themeColor="text1"/>
        </w:rPr>
        <w:t xml:space="preserve"> meet to debate topical issues and decide on new laws.</w:t>
      </w:r>
      <w:r w:rsidR="00EF4BB6" w:rsidRPr="008C26A2">
        <w:rPr>
          <w:rFonts w:cs="Arial"/>
          <w:b/>
          <w:color w:val="000000" w:themeColor="text1"/>
        </w:rPr>
        <w:t xml:space="preserve"> </w:t>
      </w:r>
      <w:r w:rsidR="00EF4BB6" w:rsidRPr="008C26A2">
        <w:rPr>
          <w:rFonts w:cs="Arial"/>
          <w:color w:val="000000" w:themeColor="text1"/>
        </w:rPr>
        <w:t xml:space="preserve">The Parliament’s committees scrutinise the work of the Scottish Government, examine legislation, conduct inquiries and make recommendations on subjects within their remit. </w:t>
      </w:r>
    </w:p>
    <w:p w14:paraId="26887F29" w14:textId="77777777" w:rsidR="00EF4BB6" w:rsidRDefault="00EF4BB6" w:rsidP="008C26A2">
      <w:pPr>
        <w:tabs>
          <w:tab w:val="center" w:pos="4153"/>
          <w:tab w:val="right" w:pos="8306"/>
        </w:tabs>
        <w:rPr>
          <w:rFonts w:cs="Arial"/>
          <w:color w:val="000000" w:themeColor="text1"/>
        </w:rPr>
      </w:pPr>
    </w:p>
    <w:p w14:paraId="0B007717" w14:textId="5A651245" w:rsidR="00EF4BB6" w:rsidRDefault="006D01D6" w:rsidP="008C26A2">
      <w:pPr>
        <w:tabs>
          <w:tab w:val="center" w:pos="4153"/>
          <w:tab w:val="right" w:pos="8306"/>
        </w:tabs>
        <w:rPr>
          <w:rFonts w:cs="Arial"/>
          <w:color w:val="000000" w:themeColor="text1"/>
        </w:rPr>
      </w:pPr>
      <w:r>
        <w:rPr>
          <w:rFonts w:cs="Arial"/>
          <w:color w:val="000000" w:themeColor="text1"/>
        </w:rPr>
        <w:t xml:space="preserve">In both the Chamber and Committees, Clerks play a vital role in ensuring that parliamentary business is conducted in accordance with </w:t>
      </w:r>
      <w:r w:rsidR="00781EAE">
        <w:rPr>
          <w:rFonts w:cs="Arial"/>
          <w:color w:val="000000" w:themeColor="text1"/>
        </w:rPr>
        <w:t>guidance and procedures,</w:t>
      </w:r>
      <w:r>
        <w:rPr>
          <w:rFonts w:cs="Arial"/>
          <w:color w:val="000000" w:themeColor="text1"/>
        </w:rPr>
        <w:t xml:space="preserve"> that MSPs have access to the information they need to </w:t>
      </w:r>
      <w:r w:rsidR="00781EAE">
        <w:rPr>
          <w:rFonts w:cs="Arial"/>
          <w:color w:val="000000" w:themeColor="text1"/>
        </w:rPr>
        <w:t>scrutinise, discuss, debate and decide on a wide range of public policy issues and that parliamentary business is conducted in a manner that is accessible to the people it affects.</w:t>
      </w:r>
    </w:p>
    <w:p w14:paraId="1CFC77CF" w14:textId="77777777" w:rsidR="00EF4BB6" w:rsidRDefault="00EF4BB6" w:rsidP="008C26A2">
      <w:pPr>
        <w:tabs>
          <w:tab w:val="center" w:pos="4153"/>
          <w:tab w:val="right" w:pos="8306"/>
        </w:tabs>
        <w:rPr>
          <w:rFonts w:cs="Arial"/>
          <w:color w:val="000000" w:themeColor="text1"/>
        </w:rPr>
      </w:pPr>
    </w:p>
    <w:p w14:paraId="55A5EDB1" w14:textId="599C7C49" w:rsidR="009F45D8" w:rsidRPr="009F45D8" w:rsidRDefault="009F45D8" w:rsidP="008C26A2">
      <w:pPr>
        <w:tabs>
          <w:tab w:val="center" w:pos="4153"/>
          <w:tab w:val="right" w:pos="8306"/>
        </w:tabs>
        <w:rPr>
          <w:rFonts w:cs="Arial"/>
          <w:b/>
          <w:color w:val="000000" w:themeColor="text1"/>
        </w:rPr>
      </w:pPr>
      <w:r w:rsidRPr="009F45D8">
        <w:rPr>
          <w:rFonts w:cs="Arial"/>
          <w:b/>
          <w:color w:val="000000" w:themeColor="text1"/>
        </w:rPr>
        <w:t>About the Post</w:t>
      </w:r>
    </w:p>
    <w:p w14:paraId="49973ED7" w14:textId="4AA19B38" w:rsidR="00720F0E" w:rsidRDefault="00720F0E" w:rsidP="008C26A2">
      <w:pPr>
        <w:tabs>
          <w:tab w:val="center" w:pos="4153"/>
          <w:tab w:val="right" w:pos="8306"/>
        </w:tabs>
        <w:rPr>
          <w:rFonts w:cs="Arial"/>
          <w:color w:val="000000" w:themeColor="text1"/>
        </w:rPr>
      </w:pPr>
      <w:r>
        <w:rPr>
          <w:rFonts w:cs="Arial"/>
          <w:color w:val="000000" w:themeColor="text1"/>
        </w:rPr>
        <w:t xml:space="preserve">The role of Senior Assistant Clerk is wide-ranging, challenging </w:t>
      </w:r>
      <w:r w:rsidR="00A3563E">
        <w:rPr>
          <w:rFonts w:cs="Arial"/>
          <w:color w:val="000000" w:themeColor="text1"/>
        </w:rPr>
        <w:t>and</w:t>
      </w:r>
      <w:r>
        <w:rPr>
          <w:rFonts w:cs="Arial"/>
          <w:color w:val="000000" w:themeColor="text1"/>
        </w:rPr>
        <w:t xml:space="preserve"> extremely rewarding.  You don’t need to be an expert in </w:t>
      </w:r>
      <w:r w:rsidR="000035A7">
        <w:rPr>
          <w:rFonts w:cs="Arial"/>
          <w:color w:val="000000" w:themeColor="text1"/>
        </w:rPr>
        <w:t xml:space="preserve">parliamentary process </w:t>
      </w:r>
      <w:r>
        <w:rPr>
          <w:rFonts w:cs="Arial"/>
          <w:color w:val="000000" w:themeColor="text1"/>
        </w:rPr>
        <w:t xml:space="preserve">to succeed in </w:t>
      </w:r>
      <w:r w:rsidR="002C5DDF">
        <w:rPr>
          <w:rFonts w:cs="Arial"/>
          <w:color w:val="000000" w:themeColor="text1"/>
        </w:rPr>
        <w:t>your application</w:t>
      </w:r>
      <w:r>
        <w:rPr>
          <w:rFonts w:cs="Arial"/>
          <w:color w:val="000000" w:themeColor="text1"/>
        </w:rPr>
        <w:t xml:space="preserve">.  Instead, you need to bring a passion for the democratic process and an interest in understanding how it operates in Scotland along with a desire to work in an environment where impartiality is key and sound judgement is vital.  As a Senior Assistant </w:t>
      </w:r>
      <w:r w:rsidR="0088205A">
        <w:rPr>
          <w:rFonts w:cs="Arial"/>
          <w:color w:val="000000" w:themeColor="text1"/>
        </w:rPr>
        <w:t>Clerk,</w:t>
      </w:r>
      <w:r>
        <w:rPr>
          <w:rFonts w:cs="Arial"/>
          <w:color w:val="000000" w:themeColor="text1"/>
        </w:rPr>
        <w:t xml:space="preserve"> you </w:t>
      </w:r>
      <w:r w:rsidR="00A3563E">
        <w:rPr>
          <w:rFonts w:cs="Arial"/>
          <w:color w:val="000000" w:themeColor="text1"/>
        </w:rPr>
        <w:t>will</w:t>
      </w:r>
      <w:r>
        <w:rPr>
          <w:rFonts w:cs="Arial"/>
          <w:color w:val="000000" w:themeColor="text1"/>
        </w:rPr>
        <w:t xml:space="preserve"> use your skills to communicate complex information in an understandable way, investigate current political issues, gather evidence, assist members of the public to have their voice heard in the Parliament and provide advice on procedure and protocol.</w:t>
      </w:r>
      <w:r w:rsidR="00602F0E">
        <w:rPr>
          <w:rFonts w:cs="Arial"/>
          <w:color w:val="000000" w:themeColor="text1"/>
        </w:rPr>
        <w:t xml:space="preserve">  You </w:t>
      </w:r>
      <w:r w:rsidR="00D57DC1">
        <w:rPr>
          <w:rFonts w:cs="Arial"/>
          <w:color w:val="000000" w:themeColor="text1"/>
        </w:rPr>
        <w:t xml:space="preserve">will be responsible </w:t>
      </w:r>
      <w:r w:rsidR="002C5DDF">
        <w:rPr>
          <w:rFonts w:cs="Arial"/>
          <w:color w:val="000000" w:themeColor="text1"/>
        </w:rPr>
        <w:t xml:space="preserve">for </w:t>
      </w:r>
      <w:r w:rsidR="00D57DC1">
        <w:rPr>
          <w:rFonts w:cs="Arial"/>
          <w:color w:val="000000" w:themeColor="text1"/>
        </w:rPr>
        <w:t xml:space="preserve">managing staff and you </w:t>
      </w:r>
      <w:r w:rsidR="002C5DDF">
        <w:rPr>
          <w:rFonts w:cs="Arial"/>
          <w:color w:val="000000" w:themeColor="text1"/>
        </w:rPr>
        <w:t>may</w:t>
      </w:r>
      <w:r w:rsidR="00D57DC1">
        <w:rPr>
          <w:rFonts w:cs="Arial"/>
          <w:color w:val="000000" w:themeColor="text1"/>
        </w:rPr>
        <w:t xml:space="preserve"> be required to lead a team.</w:t>
      </w:r>
    </w:p>
    <w:p w14:paraId="72C09D94" w14:textId="77777777" w:rsidR="00720F0E" w:rsidRDefault="00720F0E" w:rsidP="008C26A2">
      <w:pPr>
        <w:tabs>
          <w:tab w:val="center" w:pos="4153"/>
          <w:tab w:val="right" w:pos="8306"/>
        </w:tabs>
        <w:rPr>
          <w:rFonts w:cs="Arial"/>
          <w:color w:val="000000" w:themeColor="text1"/>
        </w:rPr>
      </w:pPr>
    </w:p>
    <w:p w14:paraId="6AB40695" w14:textId="176D8568" w:rsidR="009F45D8" w:rsidRPr="009F45D8" w:rsidRDefault="009F45D8" w:rsidP="008C26A2">
      <w:pPr>
        <w:tabs>
          <w:tab w:val="center" w:pos="4153"/>
          <w:tab w:val="right" w:pos="8306"/>
        </w:tabs>
        <w:rPr>
          <w:rFonts w:cs="Arial"/>
          <w:b/>
          <w:color w:val="000000" w:themeColor="text1"/>
        </w:rPr>
      </w:pPr>
      <w:r w:rsidRPr="009F45D8">
        <w:rPr>
          <w:rFonts w:cs="Arial"/>
          <w:b/>
          <w:color w:val="000000" w:themeColor="text1"/>
        </w:rPr>
        <w:t>Duties</w:t>
      </w:r>
    </w:p>
    <w:p w14:paraId="51015CD1" w14:textId="4693750D" w:rsidR="00781EAE" w:rsidRPr="00781EAE" w:rsidRDefault="00781EAE" w:rsidP="00781EAE">
      <w:pPr>
        <w:tabs>
          <w:tab w:val="center" w:pos="4153"/>
          <w:tab w:val="right" w:pos="8306"/>
        </w:tabs>
        <w:rPr>
          <w:rFonts w:cs="Arial"/>
          <w:color w:val="000000" w:themeColor="text1"/>
        </w:rPr>
      </w:pPr>
      <w:r>
        <w:rPr>
          <w:rFonts w:cs="Arial"/>
          <w:color w:val="000000" w:themeColor="text1"/>
        </w:rPr>
        <w:t>You don’t need to have worked in a similar role before</w:t>
      </w:r>
      <w:r w:rsidR="00974D84">
        <w:rPr>
          <w:rFonts w:cs="Arial"/>
          <w:color w:val="000000" w:themeColor="text1"/>
        </w:rPr>
        <w:t xml:space="preserve"> but you should only consider applying if you</w:t>
      </w:r>
      <w:r w:rsidR="00D07333">
        <w:rPr>
          <w:rFonts w:cs="Arial"/>
          <w:color w:val="000000" w:themeColor="text1"/>
        </w:rPr>
        <w:t xml:space="preserve"> </w:t>
      </w:r>
      <w:r w:rsidR="00A3563E">
        <w:rPr>
          <w:rFonts w:cs="Arial"/>
          <w:color w:val="000000" w:themeColor="text1"/>
        </w:rPr>
        <w:t xml:space="preserve">are able to operate impartially in a political and/or public policy environment and </w:t>
      </w:r>
      <w:r w:rsidR="00D07333">
        <w:rPr>
          <w:rFonts w:cs="Arial"/>
          <w:color w:val="000000" w:themeColor="text1"/>
        </w:rPr>
        <w:t xml:space="preserve">would enjoy working in a role in which you would be required to </w:t>
      </w:r>
      <w:r w:rsidR="00974D84">
        <w:rPr>
          <w:rFonts w:cs="Arial"/>
          <w:color w:val="000000" w:themeColor="text1"/>
        </w:rPr>
        <w:t>demonstrate the following:</w:t>
      </w:r>
    </w:p>
    <w:p w14:paraId="7A6C79D6" w14:textId="516CFC87" w:rsidR="00720F0E" w:rsidRDefault="00720F0E" w:rsidP="00720F0E">
      <w:pPr>
        <w:pStyle w:val="ListParagraph"/>
        <w:numPr>
          <w:ilvl w:val="0"/>
          <w:numId w:val="13"/>
        </w:numPr>
        <w:tabs>
          <w:tab w:val="center" w:pos="4153"/>
          <w:tab w:val="right" w:pos="8306"/>
        </w:tabs>
        <w:rPr>
          <w:rFonts w:cs="Arial"/>
          <w:color w:val="000000" w:themeColor="text1"/>
        </w:rPr>
      </w:pPr>
      <w:r>
        <w:rPr>
          <w:rFonts w:cs="Arial"/>
          <w:color w:val="000000" w:themeColor="text1"/>
        </w:rPr>
        <w:t>The ability to write concisely</w:t>
      </w:r>
      <w:r w:rsidR="000035A7">
        <w:rPr>
          <w:rFonts w:cs="Arial"/>
          <w:color w:val="000000" w:themeColor="text1"/>
        </w:rPr>
        <w:t>, convincingly</w:t>
      </w:r>
      <w:r>
        <w:rPr>
          <w:rFonts w:cs="Arial"/>
          <w:color w:val="000000" w:themeColor="text1"/>
        </w:rPr>
        <w:t xml:space="preserve"> and accurately, including writing informative papers on current political issues;</w:t>
      </w:r>
    </w:p>
    <w:p w14:paraId="3F6DA851" w14:textId="1124E33D" w:rsidR="00720F0E" w:rsidRDefault="009C6672" w:rsidP="00720F0E">
      <w:pPr>
        <w:pStyle w:val="ListParagraph"/>
        <w:numPr>
          <w:ilvl w:val="0"/>
          <w:numId w:val="13"/>
        </w:numPr>
        <w:tabs>
          <w:tab w:val="center" w:pos="4153"/>
          <w:tab w:val="right" w:pos="8306"/>
        </w:tabs>
        <w:rPr>
          <w:rFonts w:cs="Arial"/>
          <w:color w:val="000000" w:themeColor="text1"/>
        </w:rPr>
      </w:pPr>
      <w:r>
        <w:rPr>
          <w:rFonts w:cs="Arial"/>
          <w:color w:val="000000" w:themeColor="text1"/>
        </w:rPr>
        <w:t>The ability to understand complex rules and procedures and to assist a wide range of audiences to understand them so that the Parliament is accessible to them;</w:t>
      </w:r>
    </w:p>
    <w:p w14:paraId="6E4967ED" w14:textId="5DF4E82A" w:rsidR="009C6672" w:rsidRDefault="009C6672" w:rsidP="00720F0E">
      <w:pPr>
        <w:pStyle w:val="ListParagraph"/>
        <w:numPr>
          <w:ilvl w:val="0"/>
          <w:numId w:val="13"/>
        </w:numPr>
        <w:tabs>
          <w:tab w:val="center" w:pos="4153"/>
          <w:tab w:val="right" w:pos="8306"/>
        </w:tabs>
        <w:rPr>
          <w:rFonts w:cs="Arial"/>
          <w:color w:val="000000" w:themeColor="text1"/>
        </w:rPr>
      </w:pPr>
      <w:r>
        <w:rPr>
          <w:rFonts w:cs="Arial"/>
          <w:color w:val="000000" w:themeColor="text1"/>
        </w:rPr>
        <w:t>The ability to provide clear, consistent, accurate and coherent advice,</w:t>
      </w:r>
      <w:r w:rsidR="00A3563E">
        <w:rPr>
          <w:rFonts w:cs="Arial"/>
          <w:color w:val="000000" w:themeColor="text1"/>
        </w:rPr>
        <w:t xml:space="preserve"> both verbally and in writing,</w:t>
      </w:r>
      <w:r>
        <w:rPr>
          <w:rFonts w:cs="Arial"/>
          <w:color w:val="000000" w:themeColor="text1"/>
        </w:rPr>
        <w:t xml:space="preserve"> typically in formal environments and sometimes under intense pressure;</w:t>
      </w:r>
    </w:p>
    <w:p w14:paraId="28A6103F" w14:textId="22E5DB40" w:rsidR="009C6672" w:rsidRDefault="009C6672" w:rsidP="00720F0E">
      <w:pPr>
        <w:pStyle w:val="ListParagraph"/>
        <w:numPr>
          <w:ilvl w:val="0"/>
          <w:numId w:val="13"/>
        </w:numPr>
        <w:tabs>
          <w:tab w:val="center" w:pos="4153"/>
          <w:tab w:val="right" w:pos="8306"/>
        </w:tabs>
        <w:rPr>
          <w:rFonts w:cs="Arial"/>
          <w:color w:val="000000" w:themeColor="text1"/>
        </w:rPr>
      </w:pPr>
      <w:r>
        <w:rPr>
          <w:rFonts w:cs="Arial"/>
          <w:color w:val="000000" w:themeColor="text1"/>
        </w:rPr>
        <w:t xml:space="preserve">The ability to build and maintain strong working relationships with a wide-range of people, both within and </w:t>
      </w:r>
      <w:r w:rsidR="00003273">
        <w:rPr>
          <w:rFonts w:cs="Arial"/>
          <w:color w:val="000000" w:themeColor="text1"/>
        </w:rPr>
        <w:t>out with</w:t>
      </w:r>
      <w:r>
        <w:rPr>
          <w:rFonts w:cs="Arial"/>
          <w:color w:val="000000" w:themeColor="text1"/>
        </w:rPr>
        <w:t xml:space="preserve"> the Parliament;</w:t>
      </w:r>
    </w:p>
    <w:p w14:paraId="04489646" w14:textId="0283B8CC" w:rsidR="00974D84" w:rsidRDefault="00974D84" w:rsidP="00720F0E">
      <w:pPr>
        <w:pStyle w:val="ListParagraph"/>
        <w:numPr>
          <w:ilvl w:val="0"/>
          <w:numId w:val="13"/>
        </w:numPr>
        <w:tabs>
          <w:tab w:val="center" w:pos="4153"/>
          <w:tab w:val="right" w:pos="8306"/>
        </w:tabs>
        <w:rPr>
          <w:rFonts w:cs="Arial"/>
          <w:color w:val="000000" w:themeColor="text1"/>
        </w:rPr>
      </w:pPr>
      <w:r>
        <w:rPr>
          <w:rFonts w:cs="Arial"/>
          <w:color w:val="000000" w:themeColor="text1"/>
        </w:rPr>
        <w:lastRenderedPageBreak/>
        <w:t>The confidence to advise, guide and, often, to persuade others to adopt approaches they don’t, at first, agree with;</w:t>
      </w:r>
    </w:p>
    <w:p w14:paraId="2DC50ABF" w14:textId="76D3E6F0" w:rsidR="009C6672" w:rsidRDefault="009C6672" w:rsidP="00720F0E">
      <w:pPr>
        <w:pStyle w:val="ListParagraph"/>
        <w:numPr>
          <w:ilvl w:val="0"/>
          <w:numId w:val="13"/>
        </w:numPr>
        <w:tabs>
          <w:tab w:val="center" w:pos="4153"/>
          <w:tab w:val="right" w:pos="8306"/>
        </w:tabs>
        <w:rPr>
          <w:rFonts w:cs="Arial"/>
          <w:color w:val="000000" w:themeColor="text1"/>
        </w:rPr>
      </w:pPr>
      <w:r>
        <w:rPr>
          <w:rFonts w:cs="Arial"/>
          <w:color w:val="000000" w:themeColor="text1"/>
        </w:rPr>
        <w:t>The confidence to provide leadership to others by setting a positive example;</w:t>
      </w:r>
    </w:p>
    <w:p w14:paraId="2A50BF9E" w14:textId="3A4F7D86" w:rsidR="009C6672" w:rsidRDefault="009C6672" w:rsidP="00720F0E">
      <w:pPr>
        <w:pStyle w:val="ListParagraph"/>
        <w:numPr>
          <w:ilvl w:val="0"/>
          <w:numId w:val="13"/>
        </w:numPr>
        <w:tabs>
          <w:tab w:val="center" w:pos="4153"/>
          <w:tab w:val="right" w:pos="8306"/>
        </w:tabs>
        <w:rPr>
          <w:rFonts w:cs="Arial"/>
          <w:color w:val="000000" w:themeColor="text1"/>
        </w:rPr>
      </w:pPr>
      <w:r>
        <w:rPr>
          <w:rFonts w:cs="Arial"/>
          <w:color w:val="000000" w:themeColor="text1"/>
        </w:rPr>
        <w:t>The ability to work under minimal direction, exercising judgement to decide what to prioritise and how best to do your job.</w:t>
      </w:r>
    </w:p>
    <w:p w14:paraId="5FA3A33F" w14:textId="77777777" w:rsidR="009F45D8" w:rsidRDefault="009F45D8" w:rsidP="008C26A2">
      <w:pPr>
        <w:jc w:val="left"/>
        <w:outlineLvl w:val="0"/>
        <w:rPr>
          <w:rFonts w:cs="Arial"/>
          <w:color w:val="000000" w:themeColor="text1"/>
        </w:rPr>
      </w:pPr>
    </w:p>
    <w:p w14:paraId="4F4C5481" w14:textId="77777777" w:rsidR="009F45D8" w:rsidRDefault="009F45D8" w:rsidP="008C26A2">
      <w:pPr>
        <w:jc w:val="left"/>
        <w:outlineLvl w:val="0"/>
        <w:rPr>
          <w:b/>
          <w:color w:val="000080"/>
        </w:rPr>
      </w:pPr>
    </w:p>
    <w:p w14:paraId="30E1C026" w14:textId="77777777" w:rsidR="009F45D8" w:rsidRDefault="009F45D8">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0F75027D" w14:textId="60AEE706" w:rsidR="005B08D6" w:rsidRDefault="008C26A2" w:rsidP="008C26A2">
      <w:pPr>
        <w:jc w:val="left"/>
        <w:outlineLvl w:val="0"/>
        <w:rPr>
          <w:b/>
          <w:color w:val="000080"/>
        </w:rPr>
      </w:pPr>
      <w:r w:rsidRPr="008C26A2">
        <w:rPr>
          <w:b/>
          <w:color w:val="000080"/>
        </w:rPr>
        <w:lastRenderedPageBreak/>
        <w:t>Skills, Knowledge and Experience Required</w:t>
      </w:r>
      <w:r w:rsidR="00974D84">
        <w:rPr>
          <w:b/>
          <w:color w:val="000080"/>
        </w:rPr>
        <w:t xml:space="preserve"> and Method of Asses</w:t>
      </w:r>
      <w:r w:rsidR="009F45D8">
        <w:rPr>
          <w:b/>
          <w:color w:val="000080"/>
        </w:rPr>
        <w:t>sment</w:t>
      </w:r>
    </w:p>
    <w:tbl>
      <w:tblPr>
        <w:tblStyle w:val="ColorfulGrid-Accent4"/>
        <w:tblpPr w:leftFromText="180" w:rightFromText="180" w:vertAnchor="text" w:horzAnchor="margin" w:tblpY="103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left w:w="142" w:type="dxa"/>
          <w:right w:w="142" w:type="dxa"/>
        </w:tblCellMar>
        <w:tblLook w:val="04A0" w:firstRow="1" w:lastRow="0" w:firstColumn="1" w:lastColumn="0" w:noHBand="0" w:noVBand="1"/>
      </w:tblPr>
      <w:tblGrid>
        <w:gridCol w:w="5353"/>
        <w:gridCol w:w="1701"/>
        <w:gridCol w:w="1701"/>
        <w:gridCol w:w="2126"/>
      </w:tblGrid>
      <w:tr w:rsidR="005B08D6" w14:paraId="090E99D5" w14:textId="77777777" w:rsidTr="005B08D6">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353" w:type="dxa"/>
          </w:tcPr>
          <w:p w14:paraId="1C4E6DA5" w14:textId="77777777" w:rsidR="005B08D6" w:rsidRDefault="005B08D6" w:rsidP="005B08D6">
            <w:pPr>
              <w:jc w:val="left"/>
              <w:outlineLvl w:val="0"/>
              <w:rPr>
                <w:b w:val="0"/>
                <w:color w:val="000080"/>
              </w:rPr>
            </w:pPr>
            <w:r>
              <w:rPr>
                <w:color w:val="000080"/>
              </w:rPr>
              <w:t>Skill, knowledge, experience</w:t>
            </w:r>
          </w:p>
        </w:tc>
        <w:tc>
          <w:tcPr>
            <w:tcW w:w="1701" w:type="dxa"/>
          </w:tcPr>
          <w:p w14:paraId="07D11A6D" w14:textId="77777777" w:rsidR="005B08D6" w:rsidRDefault="005B08D6" w:rsidP="005B08D6">
            <w:pPr>
              <w:jc w:val="center"/>
              <w:outlineLvl w:val="0"/>
              <w:cnfStyle w:val="100000000000" w:firstRow="1" w:lastRow="0" w:firstColumn="0" w:lastColumn="0" w:oddVBand="0" w:evenVBand="0" w:oddHBand="0" w:evenHBand="0" w:firstRowFirstColumn="0" w:firstRowLastColumn="0" w:lastRowFirstColumn="0" w:lastRowLastColumn="0"/>
              <w:rPr>
                <w:b w:val="0"/>
                <w:color w:val="000080"/>
              </w:rPr>
            </w:pPr>
            <w:r>
              <w:rPr>
                <w:color w:val="000080"/>
              </w:rPr>
              <w:t>Application Form</w:t>
            </w:r>
          </w:p>
        </w:tc>
        <w:tc>
          <w:tcPr>
            <w:tcW w:w="1701" w:type="dxa"/>
          </w:tcPr>
          <w:p w14:paraId="7BEF8602" w14:textId="77777777" w:rsidR="005B08D6" w:rsidRDefault="005B08D6" w:rsidP="005B08D6">
            <w:pPr>
              <w:jc w:val="center"/>
              <w:outlineLvl w:val="0"/>
              <w:cnfStyle w:val="100000000000" w:firstRow="1" w:lastRow="0" w:firstColumn="0" w:lastColumn="0" w:oddVBand="0" w:evenVBand="0" w:oddHBand="0" w:evenHBand="0" w:firstRowFirstColumn="0" w:firstRowLastColumn="0" w:lastRowFirstColumn="0" w:lastRowLastColumn="0"/>
              <w:rPr>
                <w:b w:val="0"/>
                <w:color w:val="000080"/>
              </w:rPr>
            </w:pPr>
            <w:r>
              <w:rPr>
                <w:color w:val="000080"/>
              </w:rPr>
              <w:t>Interview</w:t>
            </w:r>
          </w:p>
        </w:tc>
        <w:tc>
          <w:tcPr>
            <w:tcW w:w="2126" w:type="dxa"/>
          </w:tcPr>
          <w:p w14:paraId="2EF506B2" w14:textId="77777777" w:rsidR="005B08D6" w:rsidRDefault="005B08D6" w:rsidP="005B08D6">
            <w:pPr>
              <w:jc w:val="center"/>
              <w:outlineLvl w:val="0"/>
              <w:cnfStyle w:val="100000000000" w:firstRow="1" w:lastRow="0" w:firstColumn="0" w:lastColumn="0" w:oddVBand="0" w:evenVBand="0" w:oddHBand="0" w:evenHBand="0" w:firstRowFirstColumn="0" w:firstRowLastColumn="0" w:lastRowFirstColumn="0" w:lastRowLastColumn="0"/>
              <w:rPr>
                <w:b w:val="0"/>
                <w:color w:val="000080"/>
              </w:rPr>
            </w:pPr>
            <w:r>
              <w:rPr>
                <w:color w:val="000080"/>
              </w:rPr>
              <w:t>Assessment</w:t>
            </w:r>
          </w:p>
        </w:tc>
      </w:tr>
      <w:tr w:rsidR="005B08D6" w14:paraId="4F00C1BD" w14:textId="77777777" w:rsidTr="005B08D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10303894" w14:textId="77777777" w:rsidR="005B08D6" w:rsidRDefault="005B08D6" w:rsidP="005B08D6">
            <w:pPr>
              <w:jc w:val="left"/>
              <w:rPr>
                <w:b/>
                <w:color w:val="000080"/>
              </w:rPr>
            </w:pPr>
            <w:r w:rsidRPr="00761E01">
              <w:t>the ability to convey complex information in a balanced but persuasive way – both orally and in writing</w:t>
            </w:r>
          </w:p>
        </w:tc>
        <w:tc>
          <w:tcPr>
            <w:tcW w:w="1701" w:type="dxa"/>
            <w:vAlign w:val="center"/>
          </w:tcPr>
          <w:p w14:paraId="24F74216" w14:textId="77777777" w:rsidR="005B08D6" w:rsidRPr="005D1A41" w:rsidRDefault="005B08D6" w:rsidP="005B08D6">
            <w:pPr>
              <w:pStyle w:val="ListParagraph"/>
              <w:numPr>
                <w:ilvl w:val="0"/>
                <w:numId w:val="15"/>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1701" w:type="dxa"/>
            <w:vAlign w:val="center"/>
          </w:tcPr>
          <w:p w14:paraId="3CAF01EF" w14:textId="77777777" w:rsidR="005B08D6" w:rsidRPr="005D1A41" w:rsidRDefault="005B08D6" w:rsidP="005B08D6">
            <w:pPr>
              <w:pStyle w:val="ListParagraph"/>
              <w:numPr>
                <w:ilvl w:val="0"/>
                <w:numId w:val="15"/>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2126" w:type="dxa"/>
            <w:vAlign w:val="center"/>
          </w:tcPr>
          <w:p w14:paraId="20EA13A7" w14:textId="77777777" w:rsidR="005B08D6" w:rsidRPr="005D1A41" w:rsidRDefault="005B08D6" w:rsidP="005B08D6">
            <w:pPr>
              <w:pStyle w:val="ListParagraph"/>
              <w:numPr>
                <w:ilvl w:val="0"/>
                <w:numId w:val="15"/>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r>
      <w:tr w:rsidR="005B08D6" w14:paraId="6932008F" w14:textId="77777777" w:rsidTr="005B08D6">
        <w:trPr>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6B1541DB" w14:textId="77777777" w:rsidR="005B08D6" w:rsidRDefault="005B08D6" w:rsidP="005B08D6">
            <w:pPr>
              <w:jc w:val="left"/>
              <w:rPr>
                <w:b/>
                <w:color w:val="000080"/>
              </w:rPr>
            </w:pPr>
            <w:r w:rsidRPr="00761E01">
              <w:t>the ability to draft and agree reports in a political environment</w:t>
            </w:r>
          </w:p>
        </w:tc>
        <w:tc>
          <w:tcPr>
            <w:tcW w:w="1701" w:type="dxa"/>
            <w:vAlign w:val="center"/>
          </w:tcPr>
          <w:p w14:paraId="298C525D" w14:textId="77777777" w:rsidR="005B08D6" w:rsidRPr="005D1A41" w:rsidRDefault="005B08D6" w:rsidP="005B08D6">
            <w:pPr>
              <w:pStyle w:val="ListParagraph"/>
              <w:numPr>
                <w:ilvl w:val="0"/>
                <w:numId w:val="16"/>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1701" w:type="dxa"/>
            <w:vAlign w:val="center"/>
          </w:tcPr>
          <w:p w14:paraId="07409188" w14:textId="77777777" w:rsidR="005B08D6" w:rsidRPr="005D1A41" w:rsidRDefault="005B08D6" w:rsidP="005B08D6">
            <w:pPr>
              <w:pStyle w:val="ListParagraph"/>
              <w:numPr>
                <w:ilvl w:val="0"/>
                <w:numId w:val="16"/>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2126" w:type="dxa"/>
            <w:vAlign w:val="center"/>
          </w:tcPr>
          <w:p w14:paraId="531BB66B" w14:textId="77777777" w:rsidR="005B08D6" w:rsidRPr="005D1A41" w:rsidRDefault="005B08D6" w:rsidP="005B08D6">
            <w:pPr>
              <w:pStyle w:val="ListParagraph"/>
              <w:numPr>
                <w:ilvl w:val="0"/>
                <w:numId w:val="16"/>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r>
      <w:tr w:rsidR="005B08D6" w14:paraId="1A13BFB0" w14:textId="77777777" w:rsidTr="005B08D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3E4C580C" w14:textId="77777777" w:rsidR="005B08D6" w:rsidRDefault="005B08D6" w:rsidP="005B08D6">
            <w:pPr>
              <w:jc w:val="left"/>
              <w:rPr>
                <w:b/>
                <w:color w:val="000080"/>
              </w:rPr>
            </w:pPr>
            <w:r w:rsidRPr="00761E01">
              <w:t>the ability to manage and develop staff</w:t>
            </w:r>
          </w:p>
        </w:tc>
        <w:tc>
          <w:tcPr>
            <w:tcW w:w="1701" w:type="dxa"/>
            <w:vAlign w:val="center"/>
          </w:tcPr>
          <w:p w14:paraId="11DAA5FE" w14:textId="77777777" w:rsidR="005B08D6" w:rsidRPr="005D1A41" w:rsidRDefault="005B08D6" w:rsidP="005B08D6">
            <w:pPr>
              <w:pStyle w:val="ListParagraph"/>
              <w:numPr>
                <w:ilvl w:val="0"/>
                <w:numId w:val="16"/>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1701" w:type="dxa"/>
            <w:vAlign w:val="center"/>
          </w:tcPr>
          <w:p w14:paraId="0C1ECEC1" w14:textId="77777777" w:rsidR="005B08D6" w:rsidRPr="005D1A41" w:rsidRDefault="005B08D6" w:rsidP="005B08D6">
            <w:pPr>
              <w:pStyle w:val="ListParagraph"/>
              <w:numPr>
                <w:ilvl w:val="0"/>
                <w:numId w:val="16"/>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2126" w:type="dxa"/>
            <w:vAlign w:val="center"/>
          </w:tcPr>
          <w:p w14:paraId="14EE6E8C" w14:textId="77777777" w:rsidR="005B08D6" w:rsidRPr="005D1A41" w:rsidRDefault="005B08D6" w:rsidP="005B08D6">
            <w:p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r>
      <w:tr w:rsidR="005B08D6" w14:paraId="33EE1DC5" w14:textId="77777777" w:rsidTr="005B08D6">
        <w:trPr>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02AD79B7" w14:textId="77777777" w:rsidR="005B08D6" w:rsidRDefault="005B08D6" w:rsidP="005B08D6">
            <w:pPr>
              <w:jc w:val="left"/>
              <w:rPr>
                <w:b/>
                <w:color w:val="000080"/>
              </w:rPr>
            </w:pPr>
            <w:r>
              <w:t>experience</w:t>
            </w:r>
            <w:r w:rsidRPr="00761E01">
              <w:t xml:space="preserve"> of </w:t>
            </w:r>
            <w:r>
              <w:t>working collaboratively to deliver</w:t>
            </w:r>
            <w:r w:rsidRPr="00761E01">
              <w:t xml:space="preserve"> team and organisational objectives</w:t>
            </w:r>
          </w:p>
        </w:tc>
        <w:tc>
          <w:tcPr>
            <w:tcW w:w="1701" w:type="dxa"/>
            <w:vAlign w:val="center"/>
          </w:tcPr>
          <w:p w14:paraId="54230C7D" w14:textId="77777777" w:rsidR="005B08D6" w:rsidRPr="005D1A41" w:rsidRDefault="005B08D6" w:rsidP="005B08D6">
            <w:pPr>
              <w:pStyle w:val="ListParagraph"/>
              <w:numPr>
                <w:ilvl w:val="0"/>
                <w:numId w:val="17"/>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1701" w:type="dxa"/>
            <w:vAlign w:val="center"/>
          </w:tcPr>
          <w:p w14:paraId="5FA2FB4A" w14:textId="77777777" w:rsidR="005B08D6" w:rsidRPr="005D1A41" w:rsidRDefault="005B08D6" w:rsidP="005B08D6">
            <w:pPr>
              <w:pStyle w:val="ListParagraph"/>
              <w:numPr>
                <w:ilvl w:val="0"/>
                <w:numId w:val="17"/>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2126" w:type="dxa"/>
            <w:vAlign w:val="center"/>
          </w:tcPr>
          <w:p w14:paraId="0A8F3B99" w14:textId="77777777" w:rsidR="005B08D6" w:rsidRPr="005D1A41" w:rsidRDefault="005B08D6" w:rsidP="005B08D6">
            <w:p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r>
      <w:tr w:rsidR="005B08D6" w14:paraId="3EDA8AA4" w14:textId="77777777" w:rsidTr="005B08D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50F8E974" w14:textId="77777777" w:rsidR="005B08D6" w:rsidRPr="00761E01" w:rsidRDefault="005B08D6" w:rsidP="005B08D6">
            <w:pPr>
              <w:jc w:val="left"/>
            </w:pPr>
            <w:r w:rsidRPr="00761E01">
              <w:t xml:space="preserve">the ability to work on your own initiative, to think laterally and </w:t>
            </w:r>
            <w:proofErr w:type="gramStart"/>
            <w:r w:rsidRPr="00761E01">
              <w:t>be able to</w:t>
            </w:r>
            <w:proofErr w:type="gramEnd"/>
            <w:r w:rsidRPr="00761E01">
              <w:t xml:space="preserve"> analyse complex and possibly incomplete information and take decisions under pressure</w:t>
            </w:r>
          </w:p>
        </w:tc>
        <w:tc>
          <w:tcPr>
            <w:tcW w:w="1701" w:type="dxa"/>
            <w:vAlign w:val="center"/>
          </w:tcPr>
          <w:p w14:paraId="7820EDA4" w14:textId="77777777" w:rsidR="005B08D6" w:rsidRPr="005D1A41" w:rsidRDefault="005B08D6" w:rsidP="005B08D6">
            <w:pPr>
              <w:pStyle w:val="ListParagraph"/>
              <w:numPr>
                <w:ilvl w:val="0"/>
                <w:numId w:val="21"/>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1701" w:type="dxa"/>
            <w:vAlign w:val="center"/>
          </w:tcPr>
          <w:p w14:paraId="22499900" w14:textId="77777777" w:rsidR="005B08D6" w:rsidRPr="005D1A41" w:rsidRDefault="005B08D6" w:rsidP="005B08D6">
            <w:pPr>
              <w:pStyle w:val="ListParagraph"/>
              <w:numPr>
                <w:ilvl w:val="0"/>
                <w:numId w:val="21"/>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2126" w:type="dxa"/>
            <w:vAlign w:val="center"/>
          </w:tcPr>
          <w:p w14:paraId="7C7F688B" w14:textId="77777777" w:rsidR="005B08D6" w:rsidRPr="005D1A41" w:rsidRDefault="005B08D6" w:rsidP="005B08D6">
            <w:p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r>
      <w:tr w:rsidR="005B08D6" w14:paraId="72792D01" w14:textId="77777777" w:rsidTr="005B08D6">
        <w:trPr>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61059004" w14:textId="77777777" w:rsidR="005B08D6" w:rsidRPr="00761E01" w:rsidRDefault="005B08D6" w:rsidP="005B08D6">
            <w:pPr>
              <w:jc w:val="left"/>
            </w:pPr>
            <w:r>
              <w:t xml:space="preserve">ability to deliver </w:t>
            </w:r>
            <w:r w:rsidRPr="00761E01">
              <w:t>in the face of competing demands</w:t>
            </w:r>
            <w:r>
              <w:t xml:space="preserve"> and under pressure</w:t>
            </w:r>
          </w:p>
        </w:tc>
        <w:tc>
          <w:tcPr>
            <w:tcW w:w="1701" w:type="dxa"/>
            <w:vAlign w:val="center"/>
          </w:tcPr>
          <w:p w14:paraId="2D72CC83" w14:textId="77777777" w:rsidR="005B08D6" w:rsidRPr="005D1A41" w:rsidRDefault="005B08D6" w:rsidP="005B08D6">
            <w:pPr>
              <w:pStyle w:val="ListParagraph"/>
              <w:numPr>
                <w:ilvl w:val="0"/>
                <w:numId w:val="22"/>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1701" w:type="dxa"/>
            <w:vAlign w:val="center"/>
          </w:tcPr>
          <w:p w14:paraId="281C7603" w14:textId="77777777" w:rsidR="005B08D6" w:rsidRPr="005D1A41" w:rsidRDefault="005B08D6" w:rsidP="005B08D6">
            <w:pPr>
              <w:pStyle w:val="ListParagraph"/>
              <w:numPr>
                <w:ilvl w:val="0"/>
                <w:numId w:val="22"/>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2126" w:type="dxa"/>
            <w:vAlign w:val="center"/>
          </w:tcPr>
          <w:p w14:paraId="66E8224F" w14:textId="77777777" w:rsidR="005B08D6" w:rsidRPr="005D1A41" w:rsidRDefault="005B08D6" w:rsidP="005B08D6">
            <w:p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r>
      <w:tr w:rsidR="005B08D6" w14:paraId="0D4CE822" w14:textId="77777777" w:rsidTr="005B08D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2DC06651" w14:textId="77777777" w:rsidR="005B08D6" w:rsidRDefault="005B08D6" w:rsidP="005B08D6">
            <w:pPr>
              <w:jc w:val="left"/>
            </w:pPr>
            <w:r w:rsidRPr="00761E01">
              <w:t xml:space="preserve">experience of </w:t>
            </w:r>
            <w:r>
              <w:t>influencing and persuading decision-makers</w:t>
            </w:r>
          </w:p>
        </w:tc>
        <w:tc>
          <w:tcPr>
            <w:tcW w:w="1701" w:type="dxa"/>
            <w:vAlign w:val="center"/>
          </w:tcPr>
          <w:p w14:paraId="4921FB14" w14:textId="77777777" w:rsidR="005B08D6" w:rsidRPr="005D1A41" w:rsidRDefault="005B08D6" w:rsidP="005B08D6">
            <w:pPr>
              <w:pStyle w:val="ListParagraph"/>
              <w:numPr>
                <w:ilvl w:val="0"/>
                <w:numId w:val="22"/>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1701" w:type="dxa"/>
            <w:vAlign w:val="center"/>
          </w:tcPr>
          <w:p w14:paraId="37AA1D4F" w14:textId="77777777" w:rsidR="005B08D6" w:rsidRPr="005D1A41" w:rsidRDefault="005B08D6" w:rsidP="005B08D6">
            <w:pPr>
              <w:pStyle w:val="ListParagraph"/>
              <w:numPr>
                <w:ilvl w:val="0"/>
                <w:numId w:val="22"/>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2126" w:type="dxa"/>
            <w:vAlign w:val="center"/>
          </w:tcPr>
          <w:p w14:paraId="143340E2" w14:textId="77777777" w:rsidR="005B08D6" w:rsidRPr="005D1A41" w:rsidRDefault="005B08D6" w:rsidP="005B08D6">
            <w:p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r>
      <w:tr w:rsidR="005B08D6" w14:paraId="3E3755DC" w14:textId="77777777" w:rsidTr="005B08D6">
        <w:trPr>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5A722582" w14:textId="77777777" w:rsidR="005B08D6" w:rsidRPr="00761E01" w:rsidRDefault="005B08D6" w:rsidP="005B08D6">
            <w:pPr>
              <w:jc w:val="left"/>
            </w:pPr>
            <w:r w:rsidRPr="00761E01">
              <w:t xml:space="preserve">the ability to </w:t>
            </w:r>
            <w:r>
              <w:t>provide accurate advice</w:t>
            </w:r>
            <w:r w:rsidRPr="00761E01">
              <w:t xml:space="preserve"> on procedure</w:t>
            </w:r>
            <w:r>
              <w:t>s</w:t>
            </w:r>
            <w:r w:rsidRPr="00761E01">
              <w:t xml:space="preserve"> and to gain credibility </w:t>
            </w:r>
            <w:r>
              <w:t>for your expertise</w:t>
            </w:r>
          </w:p>
        </w:tc>
        <w:tc>
          <w:tcPr>
            <w:tcW w:w="1701" w:type="dxa"/>
            <w:vAlign w:val="center"/>
          </w:tcPr>
          <w:p w14:paraId="6815DF2A" w14:textId="77777777" w:rsidR="005B08D6" w:rsidRPr="005D1A41" w:rsidRDefault="005B08D6" w:rsidP="005B08D6">
            <w:pPr>
              <w:pStyle w:val="ListParagraph"/>
              <w:numPr>
                <w:ilvl w:val="0"/>
                <w:numId w:val="22"/>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1701" w:type="dxa"/>
            <w:vAlign w:val="center"/>
          </w:tcPr>
          <w:p w14:paraId="2A1F4086" w14:textId="77777777" w:rsidR="005B08D6" w:rsidRPr="005D1A41" w:rsidRDefault="005B08D6" w:rsidP="005B08D6">
            <w:pPr>
              <w:pStyle w:val="ListParagraph"/>
              <w:numPr>
                <w:ilvl w:val="0"/>
                <w:numId w:val="22"/>
              </w:num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c>
          <w:tcPr>
            <w:tcW w:w="2126" w:type="dxa"/>
            <w:vAlign w:val="center"/>
          </w:tcPr>
          <w:p w14:paraId="0BFB2E99" w14:textId="77777777" w:rsidR="005B08D6" w:rsidRPr="005D1A41" w:rsidRDefault="005B08D6" w:rsidP="005B08D6">
            <w:pPr>
              <w:jc w:val="center"/>
              <w:outlineLvl w:val="0"/>
              <w:cnfStyle w:val="000000000000" w:firstRow="0" w:lastRow="0" w:firstColumn="0" w:lastColumn="0" w:oddVBand="0" w:evenVBand="0" w:oddHBand="0" w:evenHBand="0" w:firstRowFirstColumn="0" w:firstRowLastColumn="0" w:lastRowFirstColumn="0" w:lastRowLastColumn="0"/>
              <w:rPr>
                <w:b/>
                <w:color w:val="000080"/>
                <w:sz w:val="48"/>
                <w:szCs w:val="48"/>
              </w:rPr>
            </w:pPr>
          </w:p>
        </w:tc>
      </w:tr>
      <w:tr w:rsidR="005B08D6" w14:paraId="7D9ACD47" w14:textId="77777777" w:rsidTr="005B08D6">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6BE5AE30" w14:textId="77777777" w:rsidR="005B08D6" w:rsidRPr="00761E01" w:rsidRDefault="005B08D6" w:rsidP="005B08D6">
            <w:pPr>
              <w:jc w:val="left"/>
            </w:pPr>
            <w:r w:rsidRPr="00761E01">
              <w:t>a keen awareness of</w:t>
            </w:r>
            <w:r>
              <w:t xml:space="preserve"> the</w:t>
            </w:r>
            <w:r w:rsidRPr="00761E01">
              <w:t xml:space="preserve"> political </w:t>
            </w:r>
            <w:r>
              <w:t>landscape in Scotland</w:t>
            </w:r>
            <w:r w:rsidRPr="00761E01">
              <w:t xml:space="preserve"> </w:t>
            </w:r>
            <w:r>
              <w:t>and the ability to work impartially within it</w:t>
            </w:r>
          </w:p>
        </w:tc>
        <w:tc>
          <w:tcPr>
            <w:tcW w:w="1701" w:type="dxa"/>
            <w:vAlign w:val="center"/>
          </w:tcPr>
          <w:p w14:paraId="65585C66" w14:textId="77777777" w:rsidR="005B08D6" w:rsidRPr="005D1A41" w:rsidRDefault="005B08D6" w:rsidP="005B08D6">
            <w:pPr>
              <w:ind w:left="360"/>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1701" w:type="dxa"/>
            <w:vAlign w:val="center"/>
          </w:tcPr>
          <w:p w14:paraId="09DDA3BA" w14:textId="77777777" w:rsidR="005B08D6" w:rsidRPr="005D1A41" w:rsidRDefault="005B08D6" w:rsidP="005B08D6">
            <w:pPr>
              <w:pStyle w:val="ListParagraph"/>
              <w:numPr>
                <w:ilvl w:val="0"/>
                <w:numId w:val="22"/>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c>
          <w:tcPr>
            <w:tcW w:w="2126" w:type="dxa"/>
            <w:vAlign w:val="center"/>
          </w:tcPr>
          <w:p w14:paraId="16DED4EA" w14:textId="77777777" w:rsidR="005B08D6" w:rsidRPr="005D1A41" w:rsidRDefault="005B08D6" w:rsidP="005B08D6">
            <w:pPr>
              <w:pStyle w:val="ListParagraph"/>
              <w:numPr>
                <w:ilvl w:val="0"/>
                <w:numId w:val="26"/>
              </w:numPr>
              <w:jc w:val="center"/>
              <w:outlineLvl w:val="0"/>
              <w:cnfStyle w:val="000000100000" w:firstRow="0" w:lastRow="0" w:firstColumn="0" w:lastColumn="0" w:oddVBand="0" w:evenVBand="0" w:oddHBand="1" w:evenHBand="0" w:firstRowFirstColumn="0" w:firstRowLastColumn="0" w:lastRowFirstColumn="0" w:lastRowLastColumn="0"/>
              <w:rPr>
                <w:b/>
                <w:color w:val="000080"/>
                <w:sz w:val="48"/>
                <w:szCs w:val="48"/>
              </w:rPr>
            </w:pPr>
          </w:p>
        </w:tc>
      </w:tr>
    </w:tbl>
    <w:p w14:paraId="46FF8DDE" w14:textId="6E0C34D1" w:rsidR="00302F9E" w:rsidRDefault="005B08D6" w:rsidP="0086208E">
      <w:pPr>
        <w:jc w:val="left"/>
        <w:outlineLvl w:val="0"/>
        <w:rPr>
          <w:rFonts w:eastAsia="Calibri" w:cs="Arial"/>
          <w:b/>
          <w:color w:val="000080"/>
        </w:rPr>
      </w:pPr>
      <w:r>
        <w:t xml:space="preserve">Your skills, knowledge and experience will be assessed in </w:t>
      </w:r>
      <w:proofErr w:type="gramStart"/>
      <w:r>
        <w:t>a number of</w:t>
      </w:r>
      <w:proofErr w:type="gramEnd"/>
      <w:r>
        <w:t xml:space="preserve"> ways.  The table below sets out what you will be expected to demonstrate at each stage of the recruitment process.</w:t>
      </w:r>
    </w:p>
    <w:p w14:paraId="74006D7F" w14:textId="77777777" w:rsidR="0086208E" w:rsidRDefault="0086208E">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rPr>
      </w:pPr>
      <w:r>
        <w:rPr>
          <w:rFonts w:eastAsia="Calibri" w:cs="Arial"/>
          <w:b/>
          <w:color w:val="000080"/>
        </w:rPr>
        <w:br w:type="page"/>
      </w:r>
    </w:p>
    <w:p w14:paraId="439E8C4A" w14:textId="477F26CD" w:rsidR="00371D55" w:rsidRDefault="00371D55" w:rsidP="00371D55">
      <w:pPr>
        <w:tabs>
          <w:tab w:val="clear" w:pos="720"/>
          <w:tab w:val="clear" w:pos="1440"/>
          <w:tab w:val="clear" w:pos="2160"/>
          <w:tab w:val="clear" w:pos="2880"/>
          <w:tab w:val="clear" w:pos="4680"/>
          <w:tab w:val="clear" w:pos="5400"/>
          <w:tab w:val="clear" w:pos="9000"/>
        </w:tabs>
        <w:spacing w:line="240" w:lineRule="auto"/>
        <w:rPr>
          <w:rFonts w:eastAsia="Calibri" w:cs="Arial"/>
          <w:b/>
          <w:color w:val="000080"/>
        </w:rPr>
      </w:pPr>
      <w:r w:rsidRPr="00371D55">
        <w:rPr>
          <w:rFonts w:eastAsia="Calibri" w:cs="Arial"/>
          <w:b/>
          <w:color w:val="000080"/>
        </w:rPr>
        <w:lastRenderedPageBreak/>
        <w:t>How to apply</w:t>
      </w:r>
    </w:p>
    <w:p w14:paraId="3478BDAA" w14:textId="6F7A3C11" w:rsidR="00371D55" w:rsidRPr="00371D55" w:rsidRDefault="00371D55" w:rsidP="00371D55">
      <w:pPr>
        <w:tabs>
          <w:tab w:val="clear" w:pos="720"/>
          <w:tab w:val="clear" w:pos="1440"/>
          <w:tab w:val="clear" w:pos="2160"/>
          <w:tab w:val="clear" w:pos="2880"/>
          <w:tab w:val="clear" w:pos="4680"/>
          <w:tab w:val="clear" w:pos="5400"/>
          <w:tab w:val="clear" w:pos="9000"/>
        </w:tabs>
        <w:spacing w:line="240" w:lineRule="auto"/>
        <w:rPr>
          <w:rFonts w:eastAsia="Calibri" w:cs="Arial"/>
          <w:b/>
          <w:color w:val="000080"/>
        </w:rPr>
      </w:pPr>
    </w:p>
    <w:p w14:paraId="3C69E0A5" w14:textId="62EF5733" w:rsidR="00371D55" w:rsidRPr="005B08D6" w:rsidRDefault="00A90564" w:rsidP="00371D55">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szCs w:val="24"/>
        </w:rPr>
        <w:t>The first stage</w:t>
      </w:r>
      <w:r w:rsidR="006A5376">
        <w:rPr>
          <w:rFonts w:cs="Arial"/>
          <w:szCs w:val="24"/>
        </w:rPr>
        <w:t xml:space="preserve"> of the recruitment process</w:t>
      </w:r>
      <w:r>
        <w:rPr>
          <w:rFonts w:cs="Arial"/>
          <w:szCs w:val="24"/>
        </w:rPr>
        <w:t xml:space="preserve"> will be an application form.</w:t>
      </w:r>
      <w:r w:rsidR="006A5376">
        <w:rPr>
          <w:rFonts w:cs="Arial"/>
          <w:szCs w:val="24"/>
        </w:rPr>
        <w:t xml:space="preserve"> </w:t>
      </w:r>
      <w:r w:rsidR="006A5376" w:rsidRPr="00371D55">
        <w:rPr>
          <w:rFonts w:cs="Arial"/>
          <w:szCs w:val="24"/>
        </w:rPr>
        <w:t xml:space="preserve">To apply, please </w:t>
      </w:r>
      <w:r w:rsidR="006A5376">
        <w:rPr>
          <w:rFonts w:cs="Arial"/>
          <w:szCs w:val="24"/>
        </w:rPr>
        <w:t>complete the application form and send</w:t>
      </w:r>
      <w:r w:rsidR="006A5376" w:rsidRPr="00371D55">
        <w:rPr>
          <w:rFonts w:cs="Arial"/>
          <w:szCs w:val="24"/>
        </w:rPr>
        <w:t xml:space="preserve"> to </w:t>
      </w:r>
      <w:hyperlink r:id="rId15" w:history="1">
        <w:r w:rsidR="006A5376" w:rsidRPr="00371D55">
          <w:rPr>
            <w:rFonts w:cs="Arial"/>
            <w:color w:val="0000FF"/>
            <w:szCs w:val="24"/>
            <w:u w:val="single"/>
          </w:rPr>
          <w:t>jobs@parliament.scot</w:t>
        </w:r>
      </w:hyperlink>
      <w:r w:rsidR="006A5376" w:rsidRPr="00371D55">
        <w:rPr>
          <w:rFonts w:cs="Arial"/>
          <w:szCs w:val="24"/>
        </w:rPr>
        <w:t xml:space="preserve"> by </w:t>
      </w:r>
      <w:r w:rsidR="009E6918">
        <w:rPr>
          <w:rFonts w:cs="Arial"/>
          <w:b/>
          <w:szCs w:val="24"/>
        </w:rPr>
        <w:t>5pm on Wednesday 5 October 2018.</w:t>
      </w:r>
      <w:r w:rsidR="006A5376">
        <w:rPr>
          <w:rFonts w:cs="Arial"/>
          <w:szCs w:val="24"/>
        </w:rPr>
        <w:t xml:space="preserve"> </w:t>
      </w:r>
      <w:r>
        <w:rPr>
          <w:rFonts w:cs="Arial"/>
          <w:szCs w:val="24"/>
        </w:rPr>
        <w:t xml:space="preserve"> </w:t>
      </w:r>
      <w:r w:rsidR="005B08D6" w:rsidRPr="005B08D6">
        <w:rPr>
          <w:rFonts w:cs="Arial"/>
          <w:szCs w:val="24"/>
        </w:rPr>
        <w:t>You must</w:t>
      </w:r>
      <w:r w:rsidRPr="005B08D6">
        <w:rPr>
          <w:rFonts w:cs="Arial"/>
          <w:szCs w:val="24"/>
        </w:rPr>
        <w:t xml:space="preserve"> </w:t>
      </w:r>
      <w:r>
        <w:rPr>
          <w:rFonts w:cs="Arial"/>
          <w:szCs w:val="24"/>
        </w:rPr>
        <w:t xml:space="preserve">provide evidence of each skill, knowledge and experience ticked in the application form column in your form. </w:t>
      </w:r>
      <w:r w:rsidR="006A5376">
        <w:rPr>
          <w:rFonts w:cs="Arial"/>
          <w:szCs w:val="24"/>
        </w:rPr>
        <w:t>The n</w:t>
      </w:r>
      <w:r w:rsidR="008F59B1">
        <w:rPr>
          <w:rFonts w:cs="Arial"/>
          <w:szCs w:val="24"/>
        </w:rPr>
        <w:t xml:space="preserve">ext stage will be an </w:t>
      </w:r>
      <w:r w:rsidR="008F59B1" w:rsidRPr="003C53FC">
        <w:rPr>
          <w:rFonts w:cs="Arial"/>
          <w:szCs w:val="24"/>
        </w:rPr>
        <w:t>interview</w:t>
      </w:r>
      <w:r w:rsidR="003C53FC" w:rsidRPr="003C53FC">
        <w:rPr>
          <w:rFonts w:cs="Arial"/>
          <w:szCs w:val="24"/>
        </w:rPr>
        <w:t>,</w:t>
      </w:r>
      <w:r w:rsidR="008F59B1" w:rsidRPr="003C53FC">
        <w:rPr>
          <w:rFonts w:cs="Arial"/>
          <w:szCs w:val="24"/>
        </w:rPr>
        <w:t xml:space="preserve"> </w:t>
      </w:r>
      <w:r w:rsidR="005B08D6" w:rsidRPr="003C53FC">
        <w:rPr>
          <w:rFonts w:cs="Arial"/>
          <w:szCs w:val="24"/>
        </w:rPr>
        <w:t xml:space="preserve">and </w:t>
      </w:r>
      <w:r w:rsidR="003C53FC" w:rsidRPr="003C53FC">
        <w:rPr>
          <w:rFonts w:cs="Arial"/>
          <w:szCs w:val="24"/>
        </w:rPr>
        <w:t>possibly an assessment,</w:t>
      </w:r>
      <w:r w:rsidR="003C53FC">
        <w:rPr>
          <w:rFonts w:cs="Arial"/>
          <w:szCs w:val="24"/>
        </w:rPr>
        <w:t xml:space="preserve"> and </w:t>
      </w:r>
      <w:r w:rsidR="005B08D6">
        <w:rPr>
          <w:rFonts w:cs="Arial"/>
          <w:szCs w:val="24"/>
        </w:rPr>
        <w:t xml:space="preserve">you </w:t>
      </w:r>
      <w:r w:rsidR="006A5376">
        <w:rPr>
          <w:rFonts w:cs="Arial"/>
          <w:szCs w:val="24"/>
        </w:rPr>
        <w:t>will be asked to provide evidence of the skills, knowledge and experience ticked in both of those colu</w:t>
      </w:r>
      <w:r w:rsidR="006A5376" w:rsidRPr="009E6918">
        <w:rPr>
          <w:rFonts w:cs="Arial"/>
          <w:szCs w:val="24"/>
        </w:rPr>
        <w:t>mns. Please note that</w:t>
      </w:r>
      <w:r w:rsidRPr="009E6918">
        <w:rPr>
          <w:rFonts w:cs="Arial"/>
          <w:szCs w:val="24"/>
        </w:rPr>
        <w:t xml:space="preserve"> </w:t>
      </w:r>
      <w:r w:rsidR="006A5376" w:rsidRPr="009E6918">
        <w:rPr>
          <w:rFonts w:cs="Arial"/>
          <w:szCs w:val="24"/>
        </w:rPr>
        <w:t>i</w:t>
      </w:r>
      <w:r w:rsidR="001A1F1C" w:rsidRPr="009E6918">
        <w:rPr>
          <w:rFonts w:cs="Arial"/>
          <w:szCs w:val="24"/>
        </w:rPr>
        <w:t xml:space="preserve">nterviews </w:t>
      </w:r>
      <w:r w:rsidR="006A5376" w:rsidRPr="009E6918">
        <w:rPr>
          <w:rFonts w:cs="Arial"/>
          <w:szCs w:val="24"/>
        </w:rPr>
        <w:t>will</w:t>
      </w:r>
      <w:r w:rsidR="00436172" w:rsidRPr="009E6918">
        <w:rPr>
          <w:rFonts w:cs="Arial"/>
          <w:szCs w:val="24"/>
        </w:rPr>
        <w:t xml:space="preserve"> take place on </w:t>
      </w:r>
      <w:r w:rsidR="009E6918" w:rsidRPr="009E6918">
        <w:rPr>
          <w:rFonts w:cs="Arial"/>
          <w:szCs w:val="24"/>
        </w:rPr>
        <w:t>22 October 2018</w:t>
      </w:r>
    </w:p>
    <w:p w14:paraId="3F5F3EC1" w14:textId="77777777" w:rsidR="00A90564" w:rsidRDefault="00A90564" w:rsidP="00371D55">
      <w:pPr>
        <w:tabs>
          <w:tab w:val="clear" w:pos="720"/>
          <w:tab w:val="clear" w:pos="1440"/>
          <w:tab w:val="clear" w:pos="2160"/>
          <w:tab w:val="clear" w:pos="2880"/>
          <w:tab w:val="clear" w:pos="4680"/>
          <w:tab w:val="clear" w:pos="5400"/>
          <w:tab w:val="clear" w:pos="9000"/>
        </w:tabs>
        <w:spacing w:line="240" w:lineRule="auto"/>
        <w:jc w:val="left"/>
        <w:rPr>
          <w:rFonts w:cs="Arial"/>
          <w:b/>
          <w:color w:val="000080"/>
        </w:rPr>
      </w:pPr>
    </w:p>
    <w:p w14:paraId="106B174E" w14:textId="77777777" w:rsidR="00371D55" w:rsidRPr="00371D55" w:rsidRDefault="00371D55" w:rsidP="00371D55">
      <w:pPr>
        <w:tabs>
          <w:tab w:val="clear" w:pos="720"/>
          <w:tab w:val="clear" w:pos="1440"/>
          <w:tab w:val="clear" w:pos="2160"/>
          <w:tab w:val="clear" w:pos="2880"/>
          <w:tab w:val="clear" w:pos="4680"/>
          <w:tab w:val="clear" w:pos="5400"/>
          <w:tab w:val="clear" w:pos="9000"/>
        </w:tabs>
        <w:spacing w:line="240" w:lineRule="auto"/>
        <w:rPr>
          <w:rFonts w:cs="Arial"/>
          <w:szCs w:val="24"/>
        </w:rPr>
      </w:pPr>
    </w:p>
    <w:p w14:paraId="7769CCD2" w14:textId="77777777" w:rsidR="00371D55" w:rsidRPr="00371D55" w:rsidRDefault="00371D55" w:rsidP="00371D55">
      <w:pPr>
        <w:tabs>
          <w:tab w:val="clear" w:pos="720"/>
          <w:tab w:val="clear" w:pos="1440"/>
          <w:tab w:val="clear" w:pos="2160"/>
          <w:tab w:val="clear" w:pos="2880"/>
          <w:tab w:val="clear" w:pos="4680"/>
          <w:tab w:val="clear" w:pos="5400"/>
          <w:tab w:val="clear" w:pos="9000"/>
        </w:tabs>
        <w:spacing w:line="240" w:lineRule="auto"/>
        <w:rPr>
          <w:rFonts w:cs="Arial"/>
          <w:b/>
          <w:color w:val="000080"/>
          <w:szCs w:val="24"/>
        </w:rPr>
      </w:pPr>
      <w:r w:rsidRPr="00371D55">
        <w:rPr>
          <w:rFonts w:cs="Arial"/>
          <w:b/>
          <w:color w:val="000080"/>
          <w:szCs w:val="24"/>
        </w:rPr>
        <w:t>Salary</w:t>
      </w:r>
    </w:p>
    <w:p w14:paraId="30E38B0D" w14:textId="77777777" w:rsidR="00371D55" w:rsidRPr="00371D55" w:rsidRDefault="00371D55" w:rsidP="00371D55">
      <w:pPr>
        <w:tabs>
          <w:tab w:val="clear" w:pos="720"/>
          <w:tab w:val="clear" w:pos="1440"/>
          <w:tab w:val="clear" w:pos="2160"/>
          <w:tab w:val="clear" w:pos="2880"/>
          <w:tab w:val="clear" w:pos="4680"/>
          <w:tab w:val="clear" w:pos="5400"/>
          <w:tab w:val="clear" w:pos="9000"/>
        </w:tabs>
        <w:spacing w:line="240" w:lineRule="auto"/>
        <w:rPr>
          <w:rFonts w:cs="Arial"/>
          <w:szCs w:val="24"/>
        </w:rPr>
      </w:pPr>
    </w:p>
    <w:p w14:paraId="245A47D1" w14:textId="15526D3D" w:rsidR="00371D55" w:rsidRPr="00371D55" w:rsidRDefault="00371D55" w:rsidP="00371D55">
      <w:pPr>
        <w:jc w:val="left"/>
        <w:rPr>
          <w:szCs w:val="24"/>
        </w:rPr>
      </w:pPr>
      <w:r w:rsidRPr="00371D55">
        <w:rPr>
          <w:szCs w:val="24"/>
        </w:rPr>
        <w:t>The salary range</w:t>
      </w:r>
      <w:r w:rsidR="009F45D8">
        <w:rPr>
          <w:szCs w:val="24"/>
        </w:rPr>
        <w:t xml:space="preserve"> </w:t>
      </w:r>
      <w:r w:rsidRPr="00371D55">
        <w:rPr>
          <w:szCs w:val="24"/>
        </w:rPr>
        <w:t>for this post is shown below</w:t>
      </w:r>
      <w:r w:rsidR="009F45D8">
        <w:rPr>
          <w:szCs w:val="24"/>
        </w:rPr>
        <w:t xml:space="preserve"> </w:t>
      </w:r>
    </w:p>
    <w:p w14:paraId="3681EB74" w14:textId="77777777" w:rsidR="00371D55" w:rsidRPr="00371D55" w:rsidRDefault="00371D55" w:rsidP="00371D55">
      <w:pPr>
        <w:jc w:val="left"/>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gridCol w:w="1701"/>
      </w:tblGrid>
      <w:tr w:rsidR="00371D55" w:rsidRPr="00371D55" w14:paraId="0DCEC176" w14:textId="77777777" w:rsidTr="00D402BE">
        <w:trPr>
          <w:trHeight w:val="225"/>
        </w:trPr>
        <w:tc>
          <w:tcPr>
            <w:tcW w:w="1417" w:type="dxa"/>
            <w:shd w:val="clear" w:color="auto" w:fill="B8CCE4" w:themeFill="accent1" w:themeFillTint="66"/>
          </w:tcPr>
          <w:p w14:paraId="31328268" w14:textId="77777777" w:rsidR="00371D55" w:rsidRPr="00371D55" w:rsidRDefault="00371D55" w:rsidP="00371D55">
            <w:pPr>
              <w:jc w:val="left"/>
              <w:rPr>
                <w:b/>
                <w:szCs w:val="24"/>
              </w:rPr>
            </w:pPr>
            <w:r w:rsidRPr="00371D55">
              <w:rPr>
                <w:b/>
                <w:szCs w:val="24"/>
              </w:rPr>
              <w:t>Minimum</w:t>
            </w:r>
          </w:p>
        </w:tc>
        <w:tc>
          <w:tcPr>
            <w:tcW w:w="1560" w:type="dxa"/>
            <w:shd w:val="clear" w:color="auto" w:fill="B8CCE4" w:themeFill="accent1" w:themeFillTint="66"/>
          </w:tcPr>
          <w:p w14:paraId="79C18B45" w14:textId="77777777" w:rsidR="00371D55" w:rsidRPr="00371D55" w:rsidRDefault="00371D55" w:rsidP="00371D55">
            <w:pPr>
              <w:jc w:val="left"/>
              <w:rPr>
                <w:b/>
                <w:szCs w:val="24"/>
              </w:rPr>
            </w:pPr>
            <w:r w:rsidRPr="00371D55">
              <w:rPr>
                <w:b/>
                <w:szCs w:val="24"/>
              </w:rPr>
              <w:t>Year 1</w:t>
            </w:r>
          </w:p>
        </w:tc>
        <w:tc>
          <w:tcPr>
            <w:tcW w:w="1701" w:type="dxa"/>
            <w:shd w:val="clear" w:color="auto" w:fill="B8CCE4" w:themeFill="accent1" w:themeFillTint="66"/>
          </w:tcPr>
          <w:p w14:paraId="1108DED0" w14:textId="77777777" w:rsidR="00371D55" w:rsidRPr="00371D55" w:rsidRDefault="00371D55" w:rsidP="00371D55">
            <w:pPr>
              <w:jc w:val="left"/>
              <w:rPr>
                <w:b/>
                <w:szCs w:val="24"/>
              </w:rPr>
            </w:pPr>
            <w:r w:rsidRPr="00371D55">
              <w:rPr>
                <w:b/>
                <w:szCs w:val="24"/>
              </w:rPr>
              <w:t>Year 2</w:t>
            </w:r>
          </w:p>
        </w:tc>
        <w:tc>
          <w:tcPr>
            <w:tcW w:w="1701" w:type="dxa"/>
            <w:shd w:val="clear" w:color="auto" w:fill="B8CCE4" w:themeFill="accent1" w:themeFillTint="66"/>
          </w:tcPr>
          <w:p w14:paraId="1C589813" w14:textId="77777777" w:rsidR="00371D55" w:rsidRPr="00371D55" w:rsidRDefault="00371D55" w:rsidP="00371D55">
            <w:pPr>
              <w:jc w:val="left"/>
              <w:rPr>
                <w:b/>
                <w:szCs w:val="24"/>
              </w:rPr>
            </w:pPr>
            <w:r w:rsidRPr="00371D55">
              <w:rPr>
                <w:b/>
                <w:szCs w:val="24"/>
              </w:rPr>
              <w:t>Year 3 (Max)</w:t>
            </w:r>
          </w:p>
        </w:tc>
      </w:tr>
      <w:tr w:rsidR="00371D55" w:rsidRPr="00371D55" w14:paraId="115BAD54" w14:textId="77777777" w:rsidTr="00D402BE">
        <w:trPr>
          <w:trHeight w:val="225"/>
        </w:trPr>
        <w:tc>
          <w:tcPr>
            <w:tcW w:w="1417" w:type="dxa"/>
          </w:tcPr>
          <w:p w14:paraId="4FE073F4" w14:textId="78B0FF3E" w:rsidR="00371D55" w:rsidRPr="00371D55" w:rsidRDefault="006D01D6" w:rsidP="009F45D8">
            <w:pPr>
              <w:jc w:val="left"/>
              <w:rPr>
                <w:szCs w:val="24"/>
              </w:rPr>
            </w:pPr>
            <w:r>
              <w:rPr>
                <w:szCs w:val="24"/>
              </w:rPr>
              <w:t>£</w:t>
            </w:r>
            <w:r w:rsidR="00D67AD6">
              <w:rPr>
                <w:szCs w:val="24"/>
              </w:rPr>
              <w:t>42,066</w:t>
            </w:r>
          </w:p>
        </w:tc>
        <w:tc>
          <w:tcPr>
            <w:tcW w:w="1560" w:type="dxa"/>
          </w:tcPr>
          <w:p w14:paraId="70CD384C" w14:textId="393CDE4B" w:rsidR="00371D55" w:rsidRPr="00371D55" w:rsidRDefault="006D01D6" w:rsidP="009F45D8">
            <w:pPr>
              <w:jc w:val="left"/>
              <w:rPr>
                <w:szCs w:val="24"/>
              </w:rPr>
            </w:pPr>
            <w:r>
              <w:rPr>
                <w:szCs w:val="24"/>
              </w:rPr>
              <w:t>£</w:t>
            </w:r>
            <w:r w:rsidR="00D67AD6">
              <w:rPr>
                <w:szCs w:val="24"/>
              </w:rPr>
              <w:t>44,927</w:t>
            </w:r>
          </w:p>
        </w:tc>
        <w:tc>
          <w:tcPr>
            <w:tcW w:w="1701" w:type="dxa"/>
          </w:tcPr>
          <w:p w14:paraId="0BF5A197" w14:textId="6F28A4F5" w:rsidR="00371D55" w:rsidRPr="00371D55" w:rsidRDefault="00371D55" w:rsidP="009F45D8">
            <w:pPr>
              <w:jc w:val="left"/>
              <w:rPr>
                <w:szCs w:val="24"/>
              </w:rPr>
            </w:pPr>
            <w:r w:rsidRPr="00371D55">
              <w:rPr>
                <w:szCs w:val="24"/>
              </w:rPr>
              <w:t>£</w:t>
            </w:r>
            <w:r w:rsidR="00D67AD6">
              <w:rPr>
                <w:szCs w:val="24"/>
              </w:rPr>
              <w:t>47,788</w:t>
            </w:r>
          </w:p>
        </w:tc>
        <w:tc>
          <w:tcPr>
            <w:tcW w:w="1701" w:type="dxa"/>
          </w:tcPr>
          <w:p w14:paraId="6944D992" w14:textId="054D3050" w:rsidR="00371D55" w:rsidRPr="00371D55" w:rsidRDefault="009F45D8" w:rsidP="009F45D8">
            <w:pPr>
              <w:jc w:val="left"/>
              <w:rPr>
                <w:szCs w:val="24"/>
              </w:rPr>
            </w:pPr>
            <w:r>
              <w:rPr>
                <w:szCs w:val="24"/>
              </w:rPr>
              <w:t>£</w:t>
            </w:r>
            <w:r w:rsidR="00D67AD6">
              <w:rPr>
                <w:szCs w:val="24"/>
              </w:rPr>
              <w:t>52,679</w:t>
            </w:r>
          </w:p>
        </w:tc>
      </w:tr>
    </w:tbl>
    <w:p w14:paraId="05152997" w14:textId="77777777" w:rsidR="00371D55" w:rsidRPr="00371D55" w:rsidRDefault="00371D55" w:rsidP="00371D55">
      <w:pPr>
        <w:tabs>
          <w:tab w:val="clear" w:pos="720"/>
        </w:tabs>
        <w:jc w:val="left"/>
        <w:rPr>
          <w:szCs w:val="24"/>
        </w:rPr>
      </w:pPr>
    </w:p>
    <w:p w14:paraId="17E93091" w14:textId="65A1200A" w:rsidR="00371D55" w:rsidRDefault="00371D55" w:rsidP="00371D55">
      <w:pPr>
        <w:tabs>
          <w:tab w:val="clear" w:pos="720"/>
        </w:tabs>
        <w:jc w:val="left"/>
        <w:rPr>
          <w:szCs w:val="24"/>
        </w:rPr>
      </w:pPr>
      <w:r w:rsidRPr="00371D55">
        <w:rPr>
          <w:szCs w:val="24"/>
        </w:rPr>
        <w:t>You will progress at the rate of one scale point per year provided you are performing your du</w:t>
      </w:r>
      <w:r w:rsidR="0088205A">
        <w:rPr>
          <w:szCs w:val="24"/>
        </w:rPr>
        <w:t xml:space="preserve">ties to the required standard. </w:t>
      </w:r>
      <w:r w:rsidRPr="00371D55">
        <w:rPr>
          <w:szCs w:val="24"/>
        </w:rPr>
        <w:t xml:space="preserve">Your progression date will be the anniversary of taking up the appointment in the </w:t>
      </w:r>
      <w:r w:rsidR="0088205A">
        <w:rPr>
          <w:szCs w:val="24"/>
        </w:rPr>
        <w:t xml:space="preserve">grade. </w:t>
      </w:r>
      <w:r w:rsidRPr="00371D55">
        <w:rPr>
          <w:szCs w:val="24"/>
        </w:rPr>
        <w:t>You will be paid monthly in arrears by Bank Credit Transfer directly into your bank or building society account on the last banking day of the month.</w:t>
      </w:r>
    </w:p>
    <w:p w14:paraId="497BF2A6" w14:textId="77777777" w:rsidR="001A1F1C" w:rsidRDefault="001A1F1C" w:rsidP="001A1F1C">
      <w:pPr>
        <w:tabs>
          <w:tab w:val="clear" w:pos="720"/>
          <w:tab w:val="clear" w:pos="1440"/>
          <w:tab w:val="clear" w:pos="2160"/>
          <w:tab w:val="clear" w:pos="2880"/>
          <w:tab w:val="clear" w:pos="4680"/>
          <w:tab w:val="clear" w:pos="5400"/>
          <w:tab w:val="clear" w:pos="9000"/>
        </w:tabs>
        <w:spacing w:line="240" w:lineRule="auto"/>
        <w:jc w:val="center"/>
        <w:rPr>
          <w:b/>
          <w:color w:val="333399"/>
          <w:sz w:val="28"/>
          <w:szCs w:val="28"/>
        </w:rPr>
      </w:pPr>
    </w:p>
    <w:p w14:paraId="23BA9822" w14:textId="77777777" w:rsidR="009F45D8" w:rsidRDefault="009F45D8" w:rsidP="001A1F1C">
      <w:pPr>
        <w:tabs>
          <w:tab w:val="clear" w:pos="720"/>
          <w:tab w:val="clear" w:pos="1440"/>
          <w:tab w:val="clear" w:pos="2160"/>
          <w:tab w:val="clear" w:pos="2880"/>
          <w:tab w:val="clear" w:pos="4680"/>
          <w:tab w:val="clear" w:pos="5400"/>
          <w:tab w:val="clear" w:pos="9000"/>
        </w:tabs>
        <w:spacing w:line="240" w:lineRule="auto"/>
        <w:jc w:val="center"/>
        <w:rPr>
          <w:b/>
          <w:color w:val="333399"/>
          <w:sz w:val="28"/>
          <w:szCs w:val="28"/>
        </w:rPr>
      </w:pPr>
    </w:p>
    <w:p w14:paraId="4DDD6EC4" w14:textId="77777777" w:rsidR="009F45D8" w:rsidRDefault="009F45D8">
      <w:pPr>
        <w:tabs>
          <w:tab w:val="clear" w:pos="720"/>
          <w:tab w:val="clear" w:pos="1440"/>
          <w:tab w:val="clear" w:pos="2160"/>
          <w:tab w:val="clear" w:pos="2880"/>
          <w:tab w:val="clear" w:pos="4680"/>
          <w:tab w:val="clear" w:pos="5400"/>
          <w:tab w:val="clear" w:pos="9000"/>
        </w:tabs>
        <w:spacing w:line="240" w:lineRule="auto"/>
        <w:jc w:val="left"/>
        <w:rPr>
          <w:b/>
          <w:color w:val="333399"/>
          <w:sz w:val="28"/>
          <w:szCs w:val="28"/>
        </w:rPr>
      </w:pPr>
      <w:r>
        <w:rPr>
          <w:b/>
          <w:color w:val="333399"/>
          <w:sz w:val="28"/>
          <w:szCs w:val="28"/>
        </w:rPr>
        <w:br w:type="page"/>
      </w:r>
    </w:p>
    <w:p w14:paraId="4C65043C" w14:textId="0D92A555" w:rsidR="001A1F1C" w:rsidRDefault="001A1F1C" w:rsidP="001A1F1C">
      <w:pPr>
        <w:tabs>
          <w:tab w:val="clear" w:pos="720"/>
          <w:tab w:val="clear" w:pos="1440"/>
          <w:tab w:val="clear" w:pos="2160"/>
          <w:tab w:val="clear" w:pos="2880"/>
          <w:tab w:val="clear" w:pos="4680"/>
          <w:tab w:val="clear" w:pos="5400"/>
          <w:tab w:val="clear" w:pos="9000"/>
        </w:tabs>
        <w:spacing w:line="240" w:lineRule="auto"/>
        <w:jc w:val="center"/>
        <w:rPr>
          <w:b/>
          <w:color w:val="333399"/>
          <w:sz w:val="28"/>
          <w:szCs w:val="28"/>
        </w:rPr>
      </w:pPr>
      <w:r w:rsidRPr="001A1F1C">
        <w:rPr>
          <w:b/>
          <w:color w:val="333399"/>
          <w:sz w:val="28"/>
          <w:szCs w:val="28"/>
        </w:rPr>
        <w:lastRenderedPageBreak/>
        <w:t>Other Information</w:t>
      </w:r>
    </w:p>
    <w:p w14:paraId="363DFB46" w14:textId="77777777" w:rsidR="0086208E" w:rsidRPr="001A1F1C" w:rsidRDefault="0086208E" w:rsidP="001A1F1C">
      <w:pPr>
        <w:tabs>
          <w:tab w:val="clear" w:pos="720"/>
          <w:tab w:val="clear" w:pos="1440"/>
          <w:tab w:val="clear" w:pos="2160"/>
          <w:tab w:val="clear" w:pos="2880"/>
          <w:tab w:val="clear" w:pos="4680"/>
          <w:tab w:val="clear" w:pos="5400"/>
          <w:tab w:val="clear" w:pos="9000"/>
        </w:tabs>
        <w:spacing w:line="240" w:lineRule="auto"/>
        <w:jc w:val="center"/>
        <w:rPr>
          <w:b/>
          <w:color w:val="333399"/>
          <w:sz w:val="28"/>
          <w:szCs w:val="28"/>
        </w:rPr>
      </w:pPr>
    </w:p>
    <w:p w14:paraId="3AD542CD" w14:textId="77777777" w:rsidR="001A1F1C" w:rsidRDefault="001A1F1C" w:rsidP="001A1F1C">
      <w:pPr>
        <w:keepNext/>
        <w:outlineLvl w:val="3"/>
        <w:rPr>
          <w:b/>
          <w:color w:val="333399"/>
          <w:szCs w:val="28"/>
        </w:rPr>
      </w:pPr>
      <w:r w:rsidRPr="001A1F1C">
        <w:rPr>
          <w:b/>
          <w:color w:val="333399"/>
          <w:szCs w:val="28"/>
        </w:rPr>
        <w:t>Hours</w:t>
      </w:r>
    </w:p>
    <w:p w14:paraId="5E2BC2B5"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color w:val="000000"/>
          <w:szCs w:val="24"/>
          <w:lang w:eastAsia="en-US"/>
        </w:rPr>
      </w:pPr>
    </w:p>
    <w:p w14:paraId="4FD97970"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color w:val="000000"/>
          <w:szCs w:val="24"/>
          <w:lang w:eastAsia="en-US"/>
        </w:rPr>
      </w:pPr>
      <w:r w:rsidRPr="00B221A1">
        <w:rPr>
          <w:rFonts w:eastAsia="Calibri" w:cs="Arial"/>
          <w:color w:val="000000"/>
          <w:szCs w:val="24"/>
          <w:lang w:eastAsia="en-US"/>
        </w:rPr>
        <w:t xml:space="preserve">The way the Parliament works means that different groups of staff work varying hours and patterns. You may have to work longer hours when Parliament is sitting and reduced hours during recess periods. For this </w:t>
      </w:r>
      <w:proofErr w:type="gramStart"/>
      <w:r w:rsidRPr="00B221A1">
        <w:rPr>
          <w:rFonts w:eastAsia="Calibri" w:cs="Arial"/>
          <w:color w:val="000000"/>
          <w:szCs w:val="24"/>
          <w:lang w:eastAsia="en-US"/>
        </w:rPr>
        <w:t>reason</w:t>
      </w:r>
      <w:proofErr w:type="gramEnd"/>
      <w:r w:rsidRPr="00B221A1">
        <w:rPr>
          <w:rFonts w:eastAsia="Calibri" w:cs="Arial"/>
          <w:color w:val="000000"/>
          <w:szCs w:val="24"/>
          <w:lang w:eastAsia="en-US"/>
        </w:rPr>
        <w:t xml:space="preserve"> we have very progressive flexible working hours (FWH) arrangements. You will be required to work within these arrangements. </w:t>
      </w:r>
    </w:p>
    <w:p w14:paraId="651495CD"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color w:val="000000"/>
          <w:szCs w:val="24"/>
          <w:lang w:eastAsia="en-US"/>
        </w:rPr>
      </w:pPr>
    </w:p>
    <w:p w14:paraId="61C3CAB0"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color w:val="000000"/>
          <w:szCs w:val="24"/>
          <w:lang w:eastAsia="en-US"/>
        </w:rPr>
      </w:pPr>
      <w:r w:rsidRPr="00B221A1">
        <w:rPr>
          <w:rFonts w:eastAsia="Calibri" w:cs="Arial"/>
          <w:color w:val="000000"/>
          <w:szCs w:val="24"/>
          <w:lang w:eastAsia="en-US"/>
        </w:rPr>
        <w:t xml:space="preserve">Notwithstanding your individual working pattern, if you are employed on a </w:t>
      </w:r>
      <w:proofErr w:type="gramStart"/>
      <w:r w:rsidRPr="00B221A1">
        <w:rPr>
          <w:rFonts w:eastAsia="Calibri" w:cs="Arial"/>
          <w:color w:val="000000"/>
          <w:szCs w:val="24"/>
          <w:lang w:eastAsia="en-US"/>
        </w:rPr>
        <w:t>full time</w:t>
      </w:r>
      <w:proofErr w:type="gramEnd"/>
      <w:r w:rsidRPr="00B221A1">
        <w:rPr>
          <w:rFonts w:eastAsia="Calibri" w:cs="Arial"/>
          <w:color w:val="000000"/>
          <w:szCs w:val="24"/>
          <w:lang w:eastAsia="en-US"/>
        </w:rPr>
        <w:t xml:space="preserve"> basis, you will be contracted to work 1,623.6 hours per year. This is the equivalent to a </w:t>
      </w:r>
      <w:proofErr w:type="gramStart"/>
      <w:r w:rsidRPr="00B221A1">
        <w:rPr>
          <w:rFonts w:eastAsia="Calibri" w:cs="Arial"/>
          <w:color w:val="000000"/>
          <w:szCs w:val="24"/>
          <w:lang w:eastAsia="en-US"/>
        </w:rPr>
        <w:t>37 hour</w:t>
      </w:r>
      <w:proofErr w:type="gramEnd"/>
      <w:r w:rsidRPr="00B221A1">
        <w:rPr>
          <w:rFonts w:eastAsia="Calibri" w:cs="Arial"/>
          <w:color w:val="000000"/>
          <w:szCs w:val="24"/>
          <w:lang w:eastAsia="en-US"/>
        </w:rPr>
        <w:t xml:space="preserve"> week, excluding breaks, annual leave and public and privilege holidays. If you work on a part-time basis, you will be required to work the number of hours specified in your appointment letter. </w:t>
      </w:r>
    </w:p>
    <w:p w14:paraId="2F43AD63"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color w:val="000000"/>
          <w:szCs w:val="24"/>
          <w:lang w:eastAsia="en-US"/>
        </w:rPr>
      </w:pPr>
    </w:p>
    <w:p w14:paraId="525F7493"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color w:val="000000"/>
          <w:szCs w:val="24"/>
          <w:lang w:eastAsia="en-US"/>
        </w:rPr>
      </w:pPr>
      <w:r w:rsidRPr="00B221A1">
        <w:rPr>
          <w:rFonts w:eastAsia="Calibri" w:cs="Arial"/>
          <w:color w:val="000000"/>
          <w:szCs w:val="24"/>
          <w:lang w:eastAsia="en-US"/>
        </w:rPr>
        <w:t xml:space="preserve">Bandwidths are the hours within which staff may work and accrue time under the FWH arrangements. The bandwidth is from 7:00am to 8:00pm for all work areas and from 7:00am to 10:00pm for Sub Editors, the Deputy Editor and the Editor in the Official Report. </w:t>
      </w:r>
    </w:p>
    <w:p w14:paraId="3307FB6D" w14:textId="77777777" w:rsidR="009F45D8" w:rsidRPr="00B221A1" w:rsidRDefault="009F45D8" w:rsidP="009F45D8">
      <w:pPr>
        <w:jc w:val="left"/>
        <w:rPr>
          <w:rFonts w:eastAsia="Calibri" w:cs="Arial"/>
          <w:b/>
          <w:color w:val="000000"/>
          <w:szCs w:val="24"/>
          <w:lang w:eastAsia="en-US"/>
        </w:rPr>
      </w:pPr>
    </w:p>
    <w:p w14:paraId="54455E23" w14:textId="77777777" w:rsidR="009F45D8" w:rsidRPr="009F45D8" w:rsidRDefault="009F45D8" w:rsidP="009F45D8">
      <w:pPr>
        <w:keepNext/>
        <w:outlineLvl w:val="3"/>
        <w:rPr>
          <w:b/>
          <w:color w:val="333399"/>
          <w:szCs w:val="28"/>
        </w:rPr>
      </w:pPr>
      <w:r w:rsidRPr="009F45D8">
        <w:rPr>
          <w:b/>
          <w:color w:val="333399"/>
          <w:szCs w:val="28"/>
        </w:rPr>
        <w:t>Annual Leave</w:t>
      </w:r>
    </w:p>
    <w:p w14:paraId="043940E1"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color w:val="000000"/>
          <w:szCs w:val="24"/>
          <w:lang w:eastAsia="en-US"/>
        </w:rPr>
      </w:pPr>
    </w:p>
    <w:p w14:paraId="237ABB40"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Your annual leave allowance will be 30 days. Our annual leave year runs from 1 September to 31 August. If you take up your appointment </w:t>
      </w:r>
      <w:proofErr w:type="gramStart"/>
      <w:r w:rsidRPr="00B221A1">
        <w:rPr>
          <w:rFonts w:eastAsia="Calibri" w:cs="Arial"/>
          <w:szCs w:val="24"/>
          <w:lang w:eastAsia="en-US"/>
        </w:rPr>
        <w:t>during the course of</w:t>
      </w:r>
      <w:proofErr w:type="gramEnd"/>
      <w:r w:rsidRPr="00B221A1">
        <w:rPr>
          <w:rFonts w:eastAsia="Calibri" w:cs="Arial"/>
          <w:szCs w:val="24"/>
          <w:lang w:eastAsia="en-US"/>
        </w:rPr>
        <w:t xml:space="preserve"> the leave year, your annual leave allowance will be proportional. </w:t>
      </w:r>
    </w:p>
    <w:p w14:paraId="366E52FA"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41721AA9" w14:textId="1385B5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In add</w:t>
      </w:r>
      <w:r w:rsidR="00D67AD6">
        <w:rPr>
          <w:rFonts w:eastAsia="Calibri" w:cs="Arial"/>
          <w:szCs w:val="24"/>
          <w:lang w:eastAsia="en-US"/>
        </w:rPr>
        <w:t>ition, you will also receive 11.5</w:t>
      </w:r>
      <w:r w:rsidRPr="00B221A1">
        <w:rPr>
          <w:rFonts w:eastAsia="Calibri" w:cs="Arial"/>
          <w:szCs w:val="24"/>
          <w:lang w:eastAsia="en-US"/>
        </w:rPr>
        <w:t xml:space="preserve"> days public and privilege holidays. They are normally taken at fixed times of the year. If you are required to work on a public or privilege holiday overtime arrangements will apply. </w:t>
      </w:r>
    </w:p>
    <w:p w14:paraId="51759711"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27314091"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If you work on a part-time basis, your annual leave and public and privilege holiday entitlement will be pro-rated. </w:t>
      </w:r>
    </w:p>
    <w:p w14:paraId="2786C8E7"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78D611AB"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As with working hours, there may be restrictions on annual leave when Parliament is sitting. In any event you may not take annual leave unless it has been agreed, normally in advance, with your line manager. </w:t>
      </w:r>
    </w:p>
    <w:p w14:paraId="4770BF76"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4B6DF2E6" w14:textId="77777777" w:rsidR="009F45D8" w:rsidRPr="009F45D8" w:rsidRDefault="009F45D8" w:rsidP="009F45D8">
      <w:pPr>
        <w:keepNext/>
        <w:outlineLvl w:val="3"/>
        <w:rPr>
          <w:b/>
          <w:color w:val="333399"/>
          <w:szCs w:val="28"/>
        </w:rPr>
      </w:pPr>
      <w:r w:rsidRPr="009F45D8">
        <w:rPr>
          <w:b/>
          <w:color w:val="333399"/>
          <w:szCs w:val="28"/>
        </w:rPr>
        <w:t xml:space="preserve">Pension </w:t>
      </w:r>
    </w:p>
    <w:p w14:paraId="540C4402"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7599F47D"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Unless you choose otherwise we offer the opportunity to join the Civil Service pension arrangements, which include a valuable range of benefits. We will make substantial employer contributions towards your Civil Service pension. More information can be found on the Civil Service Pensions website at </w:t>
      </w:r>
      <w:hyperlink r:id="rId16" w:history="1">
        <w:r>
          <w:rPr>
            <w:rFonts w:eastAsia="Calibri" w:cs="Arial"/>
            <w:color w:val="0563C1"/>
            <w:szCs w:val="24"/>
            <w:u w:val="single"/>
            <w:lang w:eastAsia="en-US"/>
          </w:rPr>
          <w:t>http://www.civilservice.gov.uk/pensions</w:t>
        </w:r>
      </w:hyperlink>
      <w:r>
        <w:rPr>
          <w:rFonts w:eastAsia="Calibri" w:cs="Arial"/>
          <w:szCs w:val="24"/>
          <w:lang w:eastAsia="en-US"/>
        </w:rPr>
        <w:t>.</w:t>
      </w:r>
      <w:r w:rsidRPr="00B221A1">
        <w:rPr>
          <w:rFonts w:eastAsia="Calibri" w:cs="Arial"/>
          <w:szCs w:val="24"/>
          <w:lang w:eastAsia="en-US"/>
        </w:rPr>
        <w:t xml:space="preserve"> </w:t>
      </w:r>
    </w:p>
    <w:p w14:paraId="2E45519A"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45853E4" w14:textId="77777777" w:rsidR="009F45D8" w:rsidRPr="009F45D8" w:rsidRDefault="009F45D8" w:rsidP="009F45D8">
      <w:pPr>
        <w:keepNext/>
        <w:outlineLvl w:val="3"/>
        <w:rPr>
          <w:b/>
          <w:color w:val="333399"/>
          <w:szCs w:val="28"/>
        </w:rPr>
      </w:pPr>
      <w:r w:rsidRPr="009F45D8">
        <w:rPr>
          <w:b/>
          <w:color w:val="333399"/>
          <w:szCs w:val="28"/>
        </w:rPr>
        <w:t xml:space="preserve">Age </w:t>
      </w:r>
    </w:p>
    <w:p w14:paraId="3B972E97"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31E32BC0"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7" w:history="1">
        <w:r w:rsidRPr="00B221A1">
          <w:rPr>
            <w:rFonts w:eastAsia="Calibri" w:cs="Arial"/>
            <w:color w:val="0563C1"/>
            <w:szCs w:val="24"/>
            <w:u w:val="single"/>
            <w:lang w:eastAsia="en-US"/>
          </w:rPr>
          <w:t>Performance</w:t>
        </w:r>
      </w:hyperlink>
      <w:r w:rsidRPr="00B221A1">
        <w:rPr>
          <w:rFonts w:eastAsia="Calibri" w:cs="Arial"/>
          <w:szCs w:val="24"/>
          <w:lang w:eastAsia="en-US"/>
        </w:rPr>
        <w:t xml:space="preserve">, </w:t>
      </w:r>
      <w:hyperlink r:id="rId18" w:history="1">
        <w:r w:rsidRPr="00B221A1">
          <w:rPr>
            <w:rFonts w:eastAsia="Calibri" w:cs="Arial"/>
            <w:color w:val="0563C1"/>
            <w:szCs w:val="24"/>
            <w:u w:val="single"/>
            <w:lang w:eastAsia="en-US"/>
          </w:rPr>
          <w:t>Attendance</w:t>
        </w:r>
      </w:hyperlink>
      <w:r w:rsidRPr="00B221A1">
        <w:rPr>
          <w:rFonts w:eastAsia="Calibri" w:cs="Arial"/>
          <w:szCs w:val="24"/>
          <w:lang w:eastAsia="en-US"/>
        </w:rPr>
        <w:t xml:space="preserve"> and </w:t>
      </w:r>
      <w:hyperlink r:id="rId19" w:history="1">
        <w:r w:rsidRPr="00B221A1">
          <w:rPr>
            <w:rFonts w:eastAsia="Calibri" w:cs="Arial"/>
            <w:color w:val="0563C1"/>
            <w:szCs w:val="24"/>
            <w:u w:val="single"/>
            <w:lang w:eastAsia="en-US"/>
          </w:rPr>
          <w:t>Conduct</w:t>
        </w:r>
      </w:hyperlink>
      <w:r w:rsidRPr="00B221A1">
        <w:rPr>
          <w:rFonts w:eastAsia="Calibri" w:cs="Arial"/>
          <w:szCs w:val="24"/>
          <w:lang w:eastAsia="en-US"/>
        </w:rPr>
        <w:t xml:space="preserve">. </w:t>
      </w:r>
    </w:p>
    <w:p w14:paraId="731236DE" w14:textId="77777777" w:rsidR="009F45D8" w:rsidRPr="009F45D8" w:rsidRDefault="009F45D8" w:rsidP="009F45D8">
      <w:pPr>
        <w:keepNext/>
        <w:outlineLvl w:val="3"/>
        <w:rPr>
          <w:b/>
          <w:color w:val="333399"/>
          <w:szCs w:val="28"/>
        </w:rPr>
      </w:pPr>
    </w:p>
    <w:p w14:paraId="1CCFE5DA" w14:textId="77777777" w:rsidR="009F45D8" w:rsidRPr="009F45D8" w:rsidRDefault="009F45D8" w:rsidP="009F45D8">
      <w:pPr>
        <w:keepNext/>
        <w:outlineLvl w:val="3"/>
        <w:rPr>
          <w:b/>
          <w:color w:val="333399"/>
          <w:szCs w:val="28"/>
        </w:rPr>
      </w:pPr>
      <w:r w:rsidRPr="009F45D8">
        <w:rPr>
          <w:b/>
          <w:color w:val="333399"/>
          <w:szCs w:val="28"/>
        </w:rPr>
        <w:t xml:space="preserve">Travelling and Other Expenses </w:t>
      </w:r>
    </w:p>
    <w:p w14:paraId="6EB191C4"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2D320789"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We pay travelling and other expenses if you incur them whilst on official duty. However, we will not reimburse the cost of normal daily travel between home and office. </w:t>
      </w:r>
    </w:p>
    <w:p w14:paraId="7357EC02"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0F05EF62" w14:textId="77777777" w:rsidR="009F45D8" w:rsidRPr="009F45D8" w:rsidRDefault="009F45D8" w:rsidP="009F45D8">
      <w:pPr>
        <w:keepNext/>
        <w:outlineLvl w:val="3"/>
        <w:rPr>
          <w:b/>
          <w:color w:val="333399"/>
          <w:szCs w:val="28"/>
        </w:rPr>
      </w:pPr>
      <w:r w:rsidRPr="009F45D8">
        <w:rPr>
          <w:b/>
          <w:color w:val="333399"/>
          <w:szCs w:val="28"/>
        </w:rPr>
        <w:lastRenderedPageBreak/>
        <w:t xml:space="preserve">Probation </w:t>
      </w:r>
    </w:p>
    <w:p w14:paraId="71BD3061"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01F5F8C5"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You will be on probation for six months. Confirmation of your appointment is dependent on the satisfactory completion of this probation period, </w:t>
      </w:r>
      <w:proofErr w:type="gramStart"/>
      <w:r w:rsidRPr="00B221A1">
        <w:rPr>
          <w:rFonts w:eastAsia="Calibri" w:cs="Arial"/>
          <w:szCs w:val="24"/>
          <w:lang w:eastAsia="en-US"/>
        </w:rPr>
        <w:t>taking into account</w:t>
      </w:r>
      <w:proofErr w:type="gramEnd"/>
      <w:r w:rsidRPr="00B221A1">
        <w:rPr>
          <w:rFonts w:eastAsia="Calibri" w:cs="Arial"/>
          <w:szCs w:val="24"/>
          <w:lang w:eastAsia="en-US"/>
        </w:rPr>
        <w:t xml:space="preserve"> your job performance, conduct and attendance. </w:t>
      </w:r>
    </w:p>
    <w:p w14:paraId="54555709"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68F8DA52" w14:textId="77777777" w:rsidR="009F45D8" w:rsidRPr="009F45D8" w:rsidRDefault="009F45D8" w:rsidP="009F45D8">
      <w:pPr>
        <w:keepNext/>
        <w:outlineLvl w:val="3"/>
        <w:rPr>
          <w:b/>
          <w:color w:val="333399"/>
          <w:szCs w:val="28"/>
        </w:rPr>
      </w:pPr>
      <w:r w:rsidRPr="009F45D8">
        <w:rPr>
          <w:b/>
          <w:color w:val="333399"/>
          <w:szCs w:val="28"/>
        </w:rPr>
        <w:t xml:space="preserve">Outside and Political Activities </w:t>
      </w:r>
    </w:p>
    <w:p w14:paraId="2DDC7BC5"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7E84F154"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As an employee of the SPCB, you may not take part in any activity that would in any way conflict with the interests of the Parliament or be inconsistent with your duties and responsibilities. </w:t>
      </w:r>
    </w:p>
    <w:p w14:paraId="4D2B2FA2"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0CCF271B"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 </w:t>
      </w:r>
    </w:p>
    <w:p w14:paraId="021BF4B4" w14:textId="77777777" w:rsidR="009F45D8" w:rsidRDefault="009F45D8" w:rsidP="009F45D8">
      <w:pPr>
        <w:jc w:val="left"/>
        <w:rPr>
          <w:color w:val="000080"/>
        </w:rPr>
      </w:pPr>
    </w:p>
    <w:p w14:paraId="05875238" w14:textId="77777777" w:rsidR="009F45D8" w:rsidRPr="009F45D8" w:rsidRDefault="009F45D8" w:rsidP="009F45D8">
      <w:pPr>
        <w:keepNext/>
        <w:outlineLvl w:val="3"/>
        <w:rPr>
          <w:b/>
          <w:color w:val="333399"/>
          <w:szCs w:val="28"/>
        </w:rPr>
      </w:pPr>
      <w:r w:rsidRPr="009F45D8">
        <w:rPr>
          <w:b/>
          <w:color w:val="333399"/>
          <w:szCs w:val="28"/>
        </w:rPr>
        <w:t>Health and Safety</w:t>
      </w:r>
    </w:p>
    <w:p w14:paraId="3369E3FF"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005C7A35"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B221A1">
        <w:rPr>
          <w:rFonts w:eastAsia="Calibri" w:cs="Arial"/>
          <w:szCs w:val="24"/>
          <w:lang w:eastAsia="en-US"/>
        </w:rPr>
        <w:t xml:space="preserve">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 </w:t>
      </w:r>
    </w:p>
    <w:p w14:paraId="76C8FFE8" w14:textId="77777777" w:rsidR="009F45D8" w:rsidRPr="00B221A1"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180E55C4" w14:textId="77777777" w:rsidR="009F45D8" w:rsidRPr="009F45D8" w:rsidRDefault="009F45D8" w:rsidP="009F45D8">
      <w:pPr>
        <w:keepNext/>
        <w:outlineLvl w:val="3"/>
        <w:rPr>
          <w:b/>
          <w:color w:val="333399"/>
          <w:szCs w:val="28"/>
        </w:rPr>
      </w:pPr>
      <w:bookmarkStart w:id="1" w:name="_Hlk525554070"/>
      <w:r w:rsidRPr="009F45D8">
        <w:rPr>
          <w:b/>
          <w:color w:val="333399"/>
          <w:szCs w:val="28"/>
        </w:rPr>
        <w:t xml:space="preserve">General Data Protection Regulation </w:t>
      </w:r>
    </w:p>
    <w:p w14:paraId="78FD0ECD"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1F2DBD12"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For further details on how we will process your personal data please refer to the </w:t>
      </w:r>
      <w:hyperlink r:id="rId20" w:history="1">
        <w:r w:rsidRPr="002162DA">
          <w:rPr>
            <w:rFonts w:eastAsia="Calibri" w:cs="Arial"/>
            <w:szCs w:val="24"/>
            <w:u w:val="single"/>
            <w:lang w:eastAsia="en-US"/>
          </w:rPr>
          <w:t>HR Workers Privacy Notice and SPCB Recruitment Privacy Notice</w:t>
        </w:r>
      </w:hyperlink>
      <w:r w:rsidRPr="002162DA">
        <w:rPr>
          <w:rFonts w:eastAsia="Calibri" w:cs="Arial"/>
          <w:szCs w:val="24"/>
          <w:lang w:eastAsia="en-US"/>
        </w:rPr>
        <w:t xml:space="preserve">. </w:t>
      </w:r>
    </w:p>
    <w:bookmarkEnd w:id="1"/>
    <w:p w14:paraId="38BB12E9"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7BD15766" w14:textId="77777777" w:rsidR="009F45D8" w:rsidRDefault="009F45D8" w:rsidP="009F45D8">
      <w:pPr>
        <w:tabs>
          <w:tab w:val="clear" w:pos="720"/>
          <w:tab w:val="clear" w:pos="1440"/>
          <w:tab w:val="clear" w:pos="2160"/>
          <w:tab w:val="clear" w:pos="2880"/>
          <w:tab w:val="clear" w:pos="4680"/>
          <w:tab w:val="clear" w:pos="5400"/>
          <w:tab w:val="clear" w:pos="9000"/>
        </w:tabs>
        <w:spacing w:line="240" w:lineRule="auto"/>
        <w:jc w:val="left"/>
      </w:pPr>
      <w:r>
        <w:br w:type="page"/>
      </w:r>
    </w:p>
    <w:p w14:paraId="09C2B47C" w14:textId="77777777" w:rsidR="009F45D8" w:rsidRDefault="009F45D8" w:rsidP="009F45D8">
      <w:pPr>
        <w:keepNext/>
        <w:jc w:val="center"/>
        <w:outlineLvl w:val="3"/>
        <w:rPr>
          <w:b/>
          <w:color w:val="333399"/>
          <w:szCs w:val="28"/>
        </w:rPr>
      </w:pPr>
    </w:p>
    <w:p w14:paraId="2912CD55" w14:textId="77777777" w:rsidR="009F45D8" w:rsidRPr="009F45D8" w:rsidRDefault="009F45D8" w:rsidP="009F45D8">
      <w:pPr>
        <w:keepNext/>
        <w:jc w:val="center"/>
        <w:outlineLvl w:val="3"/>
        <w:rPr>
          <w:b/>
          <w:color w:val="333399"/>
          <w:szCs w:val="28"/>
        </w:rPr>
      </w:pPr>
      <w:r w:rsidRPr="009F45D8">
        <w:rPr>
          <w:b/>
          <w:color w:val="333399"/>
          <w:szCs w:val="28"/>
        </w:rPr>
        <w:t>The Application and Selection Process</w:t>
      </w:r>
    </w:p>
    <w:p w14:paraId="515BF14C"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4F44CC05"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Our recruitment policy is based on the principle of fair and open competition and selection on merit. Each application is assessed in the same way, against the same, agreed criteria for the vacancy in question. </w:t>
      </w:r>
    </w:p>
    <w:p w14:paraId="1D53CCBC"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2E217DF" w14:textId="77777777" w:rsidR="009F45D8" w:rsidRPr="009F45D8" w:rsidRDefault="009F45D8" w:rsidP="009F45D8">
      <w:pPr>
        <w:keepNext/>
        <w:outlineLvl w:val="3"/>
        <w:rPr>
          <w:b/>
          <w:color w:val="333399"/>
          <w:szCs w:val="28"/>
        </w:rPr>
      </w:pPr>
      <w:r w:rsidRPr="009F45D8">
        <w:rPr>
          <w:b/>
          <w:color w:val="333399"/>
          <w:szCs w:val="28"/>
        </w:rPr>
        <w:t xml:space="preserve">Short-listing </w:t>
      </w:r>
    </w:p>
    <w:p w14:paraId="26BA9C1B"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60038655"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Each application is given a score and a final short-list is agreed by the selection panel. The applicants that receive the highest scores will be invited to interview (</w:t>
      </w:r>
      <w:proofErr w:type="gramStart"/>
      <w:r w:rsidRPr="002162DA">
        <w:rPr>
          <w:rFonts w:eastAsia="Calibri" w:cs="Arial"/>
          <w:szCs w:val="24"/>
          <w:lang w:eastAsia="en-US"/>
        </w:rPr>
        <w:t>with the exception of</w:t>
      </w:r>
      <w:proofErr w:type="gramEnd"/>
      <w:r w:rsidRPr="002162DA">
        <w:rPr>
          <w:rFonts w:eastAsia="Calibri" w:cs="Arial"/>
          <w:szCs w:val="24"/>
          <w:lang w:eastAsia="en-US"/>
        </w:rPr>
        <w:t xml:space="preserve"> candidates who apply under the Disability Symbol Scheme who may be invited if they receive the minimum acceptable score). </w:t>
      </w:r>
    </w:p>
    <w:p w14:paraId="02455282"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387B00B8" w14:textId="77777777" w:rsidR="009F45D8" w:rsidRPr="009F45D8" w:rsidRDefault="009F45D8" w:rsidP="009F45D8">
      <w:pPr>
        <w:keepNext/>
        <w:outlineLvl w:val="3"/>
        <w:rPr>
          <w:b/>
          <w:color w:val="333399"/>
          <w:szCs w:val="28"/>
        </w:rPr>
      </w:pPr>
      <w:r w:rsidRPr="009F45D8">
        <w:rPr>
          <w:b/>
          <w:color w:val="333399"/>
          <w:szCs w:val="28"/>
        </w:rPr>
        <w:t xml:space="preserve">Will you pay interview or assessment expenses? </w:t>
      </w:r>
    </w:p>
    <w:p w14:paraId="61D7753A"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21B90F82"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Unless we have stated otherwise in the advert, we do not reimburse travel or other expenses you incur in attending an interview or assessment with us. We are happy to explore alternative arrangements if this causes you difficulty. </w:t>
      </w:r>
    </w:p>
    <w:p w14:paraId="5394B51C"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0AF4C692" w14:textId="77777777" w:rsidR="009F45D8" w:rsidRPr="009F45D8" w:rsidRDefault="009F45D8" w:rsidP="009F45D8">
      <w:pPr>
        <w:keepNext/>
        <w:outlineLvl w:val="3"/>
        <w:rPr>
          <w:b/>
          <w:color w:val="333399"/>
          <w:szCs w:val="28"/>
        </w:rPr>
      </w:pPr>
      <w:r w:rsidRPr="009F45D8">
        <w:rPr>
          <w:b/>
          <w:color w:val="333399"/>
          <w:szCs w:val="28"/>
        </w:rPr>
        <w:t xml:space="preserve">Progress of Vacancies </w:t>
      </w:r>
    </w:p>
    <w:p w14:paraId="6B7288E2"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23FA28A2" w14:textId="77777777" w:rsidR="009F45D8" w:rsidRPr="002162DA" w:rsidRDefault="003C53FC"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hyperlink r:id="rId21" w:history="1">
        <w:r w:rsidR="009F45D8" w:rsidRPr="002162DA">
          <w:rPr>
            <w:rStyle w:val="Hyperlink"/>
            <w:rFonts w:eastAsia="Calibri" w:cs="Arial"/>
            <w:szCs w:val="24"/>
            <w:lang w:eastAsia="en-US"/>
          </w:rPr>
          <w:t>Keep track of what stage we are at with vacancies on our website</w:t>
        </w:r>
      </w:hyperlink>
      <w:r w:rsidR="009F45D8" w:rsidRPr="002162DA">
        <w:rPr>
          <w:rFonts w:eastAsia="Calibri" w:cs="Arial"/>
          <w:szCs w:val="24"/>
          <w:lang w:eastAsia="en-US"/>
        </w:rPr>
        <w:t xml:space="preserve">. </w:t>
      </w:r>
    </w:p>
    <w:p w14:paraId="4EF5A34C"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40866949" w14:textId="77777777" w:rsidR="009F45D8" w:rsidRPr="009F45D8" w:rsidRDefault="009F45D8" w:rsidP="009F45D8">
      <w:pPr>
        <w:keepNext/>
        <w:outlineLvl w:val="3"/>
        <w:rPr>
          <w:b/>
          <w:color w:val="333399"/>
          <w:szCs w:val="28"/>
        </w:rPr>
      </w:pPr>
      <w:r w:rsidRPr="009F45D8">
        <w:rPr>
          <w:b/>
          <w:color w:val="333399"/>
          <w:szCs w:val="28"/>
        </w:rPr>
        <w:t xml:space="preserve">Disability </w:t>
      </w:r>
    </w:p>
    <w:p w14:paraId="7F81E4B7"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35304075" w14:textId="77777777" w:rsidR="009F45D8" w:rsidRPr="002162DA" w:rsidRDefault="009F45D8" w:rsidP="009F45D8">
      <w:pPr>
        <w:jc w:val="left"/>
        <w:rPr>
          <w:rFonts w:eastAsia="Calibri" w:cs="Arial"/>
          <w:b/>
          <w:szCs w:val="24"/>
          <w:lang w:eastAsia="en-US"/>
        </w:rPr>
      </w:pPr>
      <w:r w:rsidRPr="002162DA">
        <w:rPr>
          <w:rFonts w:eastAsia="Calibri" w:cs="Arial"/>
          <w:szCs w:val="24"/>
          <w:lang w:eastAsia="en-US"/>
        </w:rPr>
        <w:t xml:space="preserve">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job please get in touch using the phone numbers or addresses listed above. </w:t>
      </w:r>
    </w:p>
    <w:p w14:paraId="1725ABA3"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1B364B9B" w14:textId="77777777" w:rsidR="009F45D8" w:rsidRPr="009F45D8" w:rsidRDefault="009F45D8" w:rsidP="009F45D8">
      <w:pPr>
        <w:keepNext/>
        <w:outlineLvl w:val="3"/>
        <w:rPr>
          <w:b/>
          <w:color w:val="333399"/>
          <w:szCs w:val="28"/>
        </w:rPr>
      </w:pPr>
      <w:r w:rsidRPr="009F45D8">
        <w:rPr>
          <w:b/>
          <w:color w:val="333399"/>
          <w:szCs w:val="28"/>
        </w:rPr>
        <w:t xml:space="preserve">Referees </w:t>
      </w:r>
    </w:p>
    <w:p w14:paraId="0CFF466A"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383D0076"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 </w:t>
      </w:r>
    </w:p>
    <w:p w14:paraId="1747924D"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2FC448E0" w14:textId="77777777" w:rsidR="009F45D8" w:rsidRPr="009F45D8" w:rsidRDefault="009F45D8" w:rsidP="009F45D8">
      <w:pPr>
        <w:keepNext/>
        <w:outlineLvl w:val="3"/>
        <w:rPr>
          <w:b/>
          <w:color w:val="333399"/>
          <w:szCs w:val="28"/>
        </w:rPr>
      </w:pPr>
      <w:r w:rsidRPr="009F45D8">
        <w:rPr>
          <w:b/>
          <w:color w:val="333399"/>
          <w:szCs w:val="28"/>
        </w:rPr>
        <w:t xml:space="preserve">Health Assessment and Security Clearance </w:t>
      </w:r>
    </w:p>
    <w:p w14:paraId="182C75FF"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7CB76916"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 </w:t>
      </w:r>
    </w:p>
    <w:p w14:paraId="23476CB3"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0621E4AD"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Security clearance is required for this post. If you are successful we will ask you to complete a security questionnaire. This form will explain our security vetting policy. We can only make a formal offer of employment once the security clearance process is complete. </w:t>
      </w:r>
    </w:p>
    <w:p w14:paraId="5D4E6590"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239B1F4E" w14:textId="77777777" w:rsidR="009F45D8" w:rsidRPr="009F45D8" w:rsidRDefault="009F45D8" w:rsidP="009F45D8">
      <w:pPr>
        <w:keepNext/>
        <w:outlineLvl w:val="3"/>
        <w:rPr>
          <w:b/>
          <w:color w:val="333399"/>
          <w:szCs w:val="28"/>
        </w:rPr>
      </w:pPr>
      <w:r w:rsidRPr="009F45D8">
        <w:rPr>
          <w:b/>
          <w:color w:val="333399"/>
          <w:szCs w:val="28"/>
        </w:rPr>
        <w:lastRenderedPageBreak/>
        <w:t xml:space="preserve">Suggestions </w:t>
      </w:r>
    </w:p>
    <w:p w14:paraId="110CAC96" w14:textId="77777777" w:rsidR="009F45D8" w:rsidRPr="002162DA" w:rsidRDefault="009F45D8" w:rsidP="009F45D8">
      <w:pPr>
        <w:jc w:val="left"/>
      </w:pPr>
    </w:p>
    <w:p w14:paraId="2E45A147"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We want all applicants to feel that they have been treated fairly, even if they are not appointed. If you have any comments or suggestions about the way in which this recruitment campaign has been handled, we would really like to hear from you. </w:t>
      </w:r>
    </w:p>
    <w:p w14:paraId="4048EFC5"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49231D47" w14:textId="77777777" w:rsidR="009F45D8" w:rsidRPr="009F45D8" w:rsidRDefault="009F45D8" w:rsidP="009F45D8">
      <w:pPr>
        <w:keepNext/>
        <w:outlineLvl w:val="3"/>
        <w:rPr>
          <w:b/>
          <w:color w:val="333399"/>
          <w:szCs w:val="28"/>
        </w:rPr>
      </w:pPr>
      <w:r w:rsidRPr="009F45D8">
        <w:rPr>
          <w:b/>
          <w:color w:val="333399"/>
          <w:szCs w:val="28"/>
        </w:rPr>
        <w:t xml:space="preserve">Email Applications </w:t>
      </w:r>
    </w:p>
    <w:p w14:paraId="6326F5EC"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68B5435C"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 xml:space="preserve">On-screen applications should be e-mailed to: </w:t>
      </w:r>
      <w:hyperlink r:id="rId22" w:history="1">
        <w:r w:rsidRPr="002162DA">
          <w:rPr>
            <w:rFonts w:eastAsia="Calibri" w:cs="Arial"/>
            <w:szCs w:val="24"/>
            <w:u w:val="single"/>
            <w:lang w:eastAsia="en-US"/>
          </w:rPr>
          <w:t>jobs@parliament.scot</w:t>
        </w:r>
      </w:hyperlink>
      <w:r w:rsidRPr="002162DA">
        <w:rPr>
          <w:rFonts w:eastAsia="Calibri" w:cs="Arial"/>
          <w:szCs w:val="24"/>
          <w:lang w:eastAsia="en-US"/>
        </w:rPr>
        <w:t xml:space="preserve">. All e-mails are automatically acknowledged. Please note that evidence of sending an e-mail does not automatically mean that we have received it. </w:t>
      </w:r>
    </w:p>
    <w:p w14:paraId="0CE61E74"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732B0F8B"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bCs/>
          <w:szCs w:val="24"/>
          <w:lang w:eastAsia="en-US"/>
        </w:rPr>
        <w:t xml:space="preserve">If you do not receive our automatic response within 2 working days of submitting your application by email, please contact us immediately. </w:t>
      </w:r>
    </w:p>
    <w:p w14:paraId="56004BAB"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Cs/>
          <w:szCs w:val="24"/>
          <w:lang w:eastAsia="en-US"/>
        </w:rPr>
      </w:pPr>
    </w:p>
    <w:p w14:paraId="6463C8D8" w14:textId="77777777" w:rsidR="009F45D8" w:rsidRPr="009F45D8" w:rsidRDefault="009F45D8" w:rsidP="009F45D8">
      <w:pPr>
        <w:keepNext/>
        <w:outlineLvl w:val="3"/>
        <w:rPr>
          <w:b/>
          <w:color w:val="333399"/>
          <w:szCs w:val="28"/>
        </w:rPr>
      </w:pPr>
      <w:r w:rsidRPr="009F45D8">
        <w:rPr>
          <w:b/>
          <w:color w:val="333399"/>
          <w:szCs w:val="28"/>
        </w:rPr>
        <w:t xml:space="preserve">Visa and Work Permits </w:t>
      </w:r>
    </w:p>
    <w:p w14:paraId="631CEB9F"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p w14:paraId="678814D7"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szCs w:val="24"/>
          <w:lang w:eastAsia="en-US"/>
        </w:rPr>
        <w:t>There are no nationality restrictions on who the SPCB employs. You must however check whether there are any restrictions on your stay or your freedom to take or change employment in the United Kingdom before you apply for a post. If you are successful at interview we will carry make a complete enquiry into your eligibility to work in the United Kingdom.</w:t>
      </w:r>
    </w:p>
    <w:p w14:paraId="6A947364"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p>
    <w:tbl>
      <w:tblPr>
        <w:tblStyle w:val="TableGrid"/>
        <w:tblW w:w="0" w:type="auto"/>
        <w:tblLook w:val="04A0" w:firstRow="1" w:lastRow="0" w:firstColumn="1" w:lastColumn="0" w:noHBand="0" w:noVBand="1"/>
      </w:tblPr>
      <w:tblGrid>
        <w:gridCol w:w="9245"/>
      </w:tblGrid>
      <w:tr w:rsidR="009F45D8" w:rsidRPr="002162DA" w14:paraId="2B6640EA" w14:textId="77777777" w:rsidTr="00F30FFE">
        <w:tc>
          <w:tcPr>
            <w:tcW w:w="9245" w:type="dxa"/>
            <w:shd w:val="clear" w:color="auto" w:fill="8DB3E2" w:themeFill="text2" w:themeFillTint="66"/>
          </w:tcPr>
          <w:p w14:paraId="5C1BA3C2" w14:textId="77777777" w:rsidR="009F45D8" w:rsidRPr="002162DA" w:rsidRDefault="009F45D8" w:rsidP="00F30FFE">
            <w:pPr>
              <w:tabs>
                <w:tab w:val="clear" w:pos="720"/>
                <w:tab w:val="clear" w:pos="1440"/>
                <w:tab w:val="clear" w:pos="2160"/>
                <w:tab w:val="clear" w:pos="2880"/>
                <w:tab w:val="clear" w:pos="4680"/>
                <w:tab w:val="clear" w:pos="5400"/>
                <w:tab w:val="clear" w:pos="9000"/>
              </w:tabs>
              <w:spacing w:after="160" w:line="259" w:lineRule="auto"/>
              <w:jc w:val="center"/>
              <w:rPr>
                <w:rFonts w:eastAsia="Calibri" w:cs="Arial"/>
                <w:b/>
                <w:szCs w:val="24"/>
                <w:lang w:eastAsia="en-US"/>
              </w:rPr>
            </w:pPr>
            <w:r w:rsidRPr="002162DA">
              <w:rPr>
                <w:rFonts w:eastAsia="Calibri" w:cs="Arial"/>
                <w:bCs/>
                <w:szCs w:val="24"/>
                <w:lang w:eastAsia="en-US"/>
              </w:rPr>
              <w:t>Please note that this document is provided for information only and does not form part of the SPCB’s terms and conditions of employment.</w:t>
            </w:r>
          </w:p>
        </w:tc>
      </w:tr>
    </w:tbl>
    <w:p w14:paraId="0CD51904" w14:textId="77777777" w:rsidR="009F45D8" w:rsidRPr="002162DA" w:rsidRDefault="009F45D8" w:rsidP="009F45D8">
      <w:pPr>
        <w:jc w:val="left"/>
      </w:pPr>
    </w:p>
    <w:p w14:paraId="662D7748" w14:textId="77777777" w:rsidR="009F45D8" w:rsidRPr="009F45D8" w:rsidRDefault="009F45D8" w:rsidP="009F45D8">
      <w:pPr>
        <w:keepNext/>
        <w:outlineLvl w:val="3"/>
        <w:rPr>
          <w:b/>
          <w:color w:val="333399"/>
          <w:szCs w:val="28"/>
        </w:rPr>
      </w:pPr>
      <w:r w:rsidRPr="009F45D8">
        <w:rPr>
          <w:b/>
          <w:color w:val="333399"/>
          <w:szCs w:val="28"/>
        </w:rPr>
        <w:t xml:space="preserve">Equal Opportunities </w:t>
      </w:r>
    </w:p>
    <w:p w14:paraId="7945F446" w14:textId="77777777" w:rsidR="009F45D8" w:rsidRPr="002162DA" w:rsidRDefault="009F45D8" w:rsidP="009F45D8">
      <w:pPr>
        <w:tabs>
          <w:tab w:val="clear" w:pos="720"/>
          <w:tab w:val="clear" w:pos="1440"/>
          <w:tab w:val="clear" w:pos="2160"/>
          <w:tab w:val="clear" w:pos="2880"/>
          <w:tab w:val="clear" w:pos="4680"/>
          <w:tab w:val="clear" w:pos="5400"/>
          <w:tab w:val="clear" w:pos="9000"/>
        </w:tabs>
        <w:spacing w:line="240" w:lineRule="auto"/>
        <w:jc w:val="left"/>
        <w:rPr>
          <w:rFonts w:eastAsia="Calibri" w:cs="Arial"/>
          <w:b/>
          <w:bCs/>
          <w:szCs w:val="24"/>
          <w:lang w:eastAsia="en-US"/>
        </w:rPr>
      </w:pPr>
    </w:p>
    <w:p w14:paraId="0BB90995" w14:textId="77777777" w:rsidR="009F45D8" w:rsidRPr="002162DA" w:rsidRDefault="009F45D8" w:rsidP="009F45D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Calibri" w:cs="Arial"/>
          <w:b/>
          <w:szCs w:val="24"/>
          <w:lang w:eastAsia="en-US"/>
        </w:rPr>
      </w:pPr>
      <w:r w:rsidRPr="002162DA">
        <w:rPr>
          <w:rFonts w:eastAsia="Calibri" w:cs="Arial"/>
          <w:bCs/>
          <w:szCs w:val="24"/>
          <w:lang w:eastAsia="en-US"/>
        </w:rPr>
        <w:t xml:space="preserve">The Scottish Parliamentary Corporate Body is committed to promoting equality of opportunity and treatment and to eliminating unfair discrimination in its employment practices. It will seek to ensure that all job applicants and staff are treated fairly, with respect and </w:t>
      </w:r>
      <w:r w:rsidRPr="002162DA">
        <w:rPr>
          <w:rFonts w:eastAsia="Calibri" w:cs="Arial"/>
          <w:szCs w:val="24"/>
          <w:lang w:eastAsia="en-US"/>
        </w:rPr>
        <w:t>without</w:t>
      </w:r>
      <w:r w:rsidRPr="002162DA">
        <w:rPr>
          <w:rFonts w:eastAsia="Calibri" w:cs="Arial"/>
          <w:bCs/>
          <w:szCs w:val="24"/>
          <w:lang w:eastAsia="en-US"/>
        </w:rPr>
        <w:t xml:space="preserve">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 (subject to retirement practice age); part-time or fixed-term contract status (unless such treatment is objectively justified); and trade union membership status/activities.</w:t>
      </w:r>
    </w:p>
    <w:p w14:paraId="54B15F30" w14:textId="77777777" w:rsidR="009F45D8" w:rsidRPr="00461FA2" w:rsidRDefault="009F45D8" w:rsidP="009F45D8">
      <w:pPr>
        <w:jc w:val="left"/>
      </w:pPr>
    </w:p>
    <w:p w14:paraId="45FB675A" w14:textId="600D259E" w:rsidR="001A1F1C" w:rsidRPr="00371D55" w:rsidRDefault="001A1F1C" w:rsidP="009F45D8">
      <w:pPr>
        <w:rPr>
          <w:szCs w:val="24"/>
        </w:rPr>
      </w:pPr>
    </w:p>
    <w:sectPr w:rsidR="001A1F1C" w:rsidRPr="00371D55" w:rsidSect="00BB776F">
      <w:footerReference w:type="default" r:id="rId23"/>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DE76" w14:textId="77777777" w:rsidR="002350C9" w:rsidRDefault="002350C9">
      <w:pPr>
        <w:spacing w:line="240" w:lineRule="auto"/>
      </w:pPr>
      <w:r>
        <w:separator/>
      </w:r>
    </w:p>
  </w:endnote>
  <w:endnote w:type="continuationSeparator" w:id="0">
    <w:p w14:paraId="5A84876D" w14:textId="77777777" w:rsidR="002350C9" w:rsidRDefault="0023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109998"/>
      <w:docPartObj>
        <w:docPartGallery w:val="Page Numbers (Bottom of Page)"/>
        <w:docPartUnique/>
      </w:docPartObj>
    </w:sdtPr>
    <w:sdtEndPr>
      <w:rPr>
        <w:noProof/>
      </w:rPr>
    </w:sdtEndPr>
    <w:sdtContent>
      <w:p w14:paraId="2D6A4648" w14:textId="385FFABE" w:rsidR="002350C9" w:rsidRDefault="002350C9">
        <w:pPr>
          <w:pStyle w:val="Footer"/>
          <w:jc w:val="center"/>
        </w:pPr>
        <w:r>
          <w:fldChar w:fldCharType="begin"/>
        </w:r>
        <w:r>
          <w:instrText xml:space="preserve"> PAGE   \* MERGEFORMAT </w:instrText>
        </w:r>
        <w:r>
          <w:fldChar w:fldCharType="separate"/>
        </w:r>
        <w:r w:rsidR="003C53FC">
          <w:rPr>
            <w:noProof/>
          </w:rPr>
          <w:t>4</w:t>
        </w:r>
        <w:r>
          <w:rPr>
            <w:noProof/>
          </w:rPr>
          <w:fldChar w:fldCharType="end"/>
        </w:r>
      </w:p>
    </w:sdtContent>
  </w:sdt>
  <w:p w14:paraId="35CE6B40" w14:textId="05CD6DC6" w:rsidR="002350C9" w:rsidRPr="00A55A68" w:rsidRDefault="002350C9" w:rsidP="006476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857D" w14:textId="77777777" w:rsidR="002350C9" w:rsidRDefault="002350C9">
      <w:pPr>
        <w:spacing w:line="240" w:lineRule="auto"/>
      </w:pPr>
      <w:r>
        <w:separator/>
      </w:r>
    </w:p>
  </w:footnote>
  <w:footnote w:type="continuationSeparator" w:id="0">
    <w:p w14:paraId="10548908" w14:textId="77777777" w:rsidR="002350C9" w:rsidRDefault="002350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2E3B8B"/>
    <w:multiLevelType w:val="hybridMultilevel"/>
    <w:tmpl w:val="B74C59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305C0"/>
    <w:multiLevelType w:val="hybridMultilevel"/>
    <w:tmpl w:val="312E0664"/>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D4080"/>
    <w:multiLevelType w:val="hybridMultilevel"/>
    <w:tmpl w:val="5C4E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A5D0D"/>
    <w:multiLevelType w:val="hybridMultilevel"/>
    <w:tmpl w:val="0A2CB7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E6861"/>
    <w:multiLevelType w:val="hybridMultilevel"/>
    <w:tmpl w:val="813087A2"/>
    <w:lvl w:ilvl="0" w:tplc="CE82D6F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E00F53"/>
    <w:multiLevelType w:val="hybridMultilevel"/>
    <w:tmpl w:val="0A966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2163A6"/>
    <w:multiLevelType w:val="hybridMultilevel"/>
    <w:tmpl w:val="52A4F2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71B5C"/>
    <w:multiLevelType w:val="hybridMultilevel"/>
    <w:tmpl w:val="A73A10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85341"/>
    <w:multiLevelType w:val="hybridMultilevel"/>
    <w:tmpl w:val="AF2E02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5003D"/>
    <w:multiLevelType w:val="hybridMultilevel"/>
    <w:tmpl w:val="0090FAB8"/>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A22EC"/>
    <w:multiLevelType w:val="hybridMultilevel"/>
    <w:tmpl w:val="0006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13" w15:restartNumberingAfterBreak="0">
    <w:nsid w:val="35A95137"/>
    <w:multiLevelType w:val="multilevel"/>
    <w:tmpl w:val="CB9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53D37"/>
    <w:multiLevelType w:val="hybridMultilevel"/>
    <w:tmpl w:val="2EEC9A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B7E59"/>
    <w:multiLevelType w:val="hybridMultilevel"/>
    <w:tmpl w:val="05363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94A02"/>
    <w:multiLevelType w:val="hybridMultilevel"/>
    <w:tmpl w:val="0A1C58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125E8"/>
    <w:multiLevelType w:val="hybridMultilevel"/>
    <w:tmpl w:val="E6A0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19" w15:restartNumberingAfterBreak="0">
    <w:nsid w:val="60BF4F8B"/>
    <w:multiLevelType w:val="hybridMultilevel"/>
    <w:tmpl w:val="A9DCF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6C67BEB"/>
    <w:multiLevelType w:val="hybridMultilevel"/>
    <w:tmpl w:val="26AA9A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667C9"/>
    <w:multiLevelType w:val="hybridMultilevel"/>
    <w:tmpl w:val="481E3F02"/>
    <w:lvl w:ilvl="0" w:tplc="08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75271987"/>
    <w:multiLevelType w:val="hybridMultilevel"/>
    <w:tmpl w:val="CFEAD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12"/>
  </w:num>
  <w:num w:numId="6">
    <w:abstractNumId w:val="18"/>
  </w:num>
  <w:num w:numId="7">
    <w:abstractNumId w:val="13"/>
  </w:num>
  <w:num w:numId="8">
    <w:abstractNumId w:val="5"/>
  </w:num>
  <w:num w:numId="9">
    <w:abstractNumId w:val="19"/>
  </w:num>
  <w:num w:numId="10">
    <w:abstractNumId w:val="2"/>
  </w:num>
  <w:num w:numId="11">
    <w:abstractNumId w:val="10"/>
  </w:num>
  <w:num w:numId="12">
    <w:abstractNumId w:val="17"/>
  </w:num>
  <w:num w:numId="13">
    <w:abstractNumId w:val="11"/>
  </w:num>
  <w:num w:numId="14">
    <w:abstractNumId w:val="3"/>
  </w:num>
  <w:num w:numId="15">
    <w:abstractNumId w:val="1"/>
  </w:num>
  <w:num w:numId="16">
    <w:abstractNumId w:val="7"/>
  </w:num>
  <w:num w:numId="17">
    <w:abstractNumId w:val="14"/>
  </w:num>
  <w:num w:numId="18">
    <w:abstractNumId w:val="23"/>
  </w:num>
  <w:num w:numId="19">
    <w:abstractNumId w:val="16"/>
  </w:num>
  <w:num w:numId="20">
    <w:abstractNumId w:val="4"/>
  </w:num>
  <w:num w:numId="21">
    <w:abstractNumId w:val="9"/>
  </w:num>
  <w:num w:numId="22">
    <w:abstractNumId w:val="22"/>
  </w:num>
  <w:num w:numId="23">
    <w:abstractNumId w:val="6"/>
  </w:num>
  <w:num w:numId="24">
    <w:abstractNumId w:val="15"/>
  </w:num>
  <w:num w:numId="25">
    <w:abstractNumId w:val="8"/>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3273"/>
    <w:rsid w:val="000035A7"/>
    <w:rsid w:val="00004DF8"/>
    <w:rsid w:val="00006D49"/>
    <w:rsid w:val="0004430C"/>
    <w:rsid w:val="00044589"/>
    <w:rsid w:val="00045740"/>
    <w:rsid w:val="00077345"/>
    <w:rsid w:val="00080C61"/>
    <w:rsid w:val="00081D93"/>
    <w:rsid w:val="00086A81"/>
    <w:rsid w:val="00087733"/>
    <w:rsid w:val="00096907"/>
    <w:rsid w:val="00097302"/>
    <w:rsid w:val="000E6986"/>
    <w:rsid w:val="000F4319"/>
    <w:rsid w:val="00100D9C"/>
    <w:rsid w:val="00102329"/>
    <w:rsid w:val="00134DAC"/>
    <w:rsid w:val="00180EB3"/>
    <w:rsid w:val="00182651"/>
    <w:rsid w:val="001835D3"/>
    <w:rsid w:val="001869F4"/>
    <w:rsid w:val="001A1F1C"/>
    <w:rsid w:val="001C3633"/>
    <w:rsid w:val="001C794A"/>
    <w:rsid w:val="001D5EE1"/>
    <w:rsid w:val="001E72ED"/>
    <w:rsid w:val="001F7D26"/>
    <w:rsid w:val="00222561"/>
    <w:rsid w:val="0022404D"/>
    <w:rsid w:val="00224DAA"/>
    <w:rsid w:val="00226FC5"/>
    <w:rsid w:val="002343EE"/>
    <w:rsid w:val="002350C9"/>
    <w:rsid w:val="00243466"/>
    <w:rsid w:val="00247BF1"/>
    <w:rsid w:val="00273ECB"/>
    <w:rsid w:val="00274698"/>
    <w:rsid w:val="002A7E13"/>
    <w:rsid w:val="002B4B58"/>
    <w:rsid w:val="002B6DBC"/>
    <w:rsid w:val="002B7956"/>
    <w:rsid w:val="002B7D0D"/>
    <w:rsid w:val="002B7F3E"/>
    <w:rsid w:val="002C5DDF"/>
    <w:rsid w:val="002D6E5F"/>
    <w:rsid w:val="002F4E05"/>
    <w:rsid w:val="00302F9E"/>
    <w:rsid w:val="00326504"/>
    <w:rsid w:val="00330211"/>
    <w:rsid w:val="00330BF2"/>
    <w:rsid w:val="003405F9"/>
    <w:rsid w:val="00342553"/>
    <w:rsid w:val="00366864"/>
    <w:rsid w:val="00371D55"/>
    <w:rsid w:val="003914B4"/>
    <w:rsid w:val="003A56DE"/>
    <w:rsid w:val="003B3A82"/>
    <w:rsid w:val="003B42D1"/>
    <w:rsid w:val="003B4E4B"/>
    <w:rsid w:val="003C50DF"/>
    <w:rsid w:val="003C53FC"/>
    <w:rsid w:val="003C6489"/>
    <w:rsid w:val="003D3F76"/>
    <w:rsid w:val="003D60EA"/>
    <w:rsid w:val="003E13A0"/>
    <w:rsid w:val="003F1F4F"/>
    <w:rsid w:val="00400E61"/>
    <w:rsid w:val="0041431D"/>
    <w:rsid w:val="0042079D"/>
    <w:rsid w:val="0042720E"/>
    <w:rsid w:val="00432136"/>
    <w:rsid w:val="00436172"/>
    <w:rsid w:val="00460E8B"/>
    <w:rsid w:val="00462A52"/>
    <w:rsid w:val="004A5AE7"/>
    <w:rsid w:val="004C1565"/>
    <w:rsid w:val="004D0386"/>
    <w:rsid w:val="004F3B7A"/>
    <w:rsid w:val="00500424"/>
    <w:rsid w:val="0050749D"/>
    <w:rsid w:val="00507EED"/>
    <w:rsid w:val="00577882"/>
    <w:rsid w:val="005828C3"/>
    <w:rsid w:val="0058428D"/>
    <w:rsid w:val="0058781A"/>
    <w:rsid w:val="005B08D6"/>
    <w:rsid w:val="005C6AEC"/>
    <w:rsid w:val="005D1F42"/>
    <w:rsid w:val="005D5492"/>
    <w:rsid w:val="00601F13"/>
    <w:rsid w:val="00602F0E"/>
    <w:rsid w:val="00622554"/>
    <w:rsid w:val="00644F11"/>
    <w:rsid w:val="006476E4"/>
    <w:rsid w:val="00666421"/>
    <w:rsid w:val="006719F2"/>
    <w:rsid w:val="006958AF"/>
    <w:rsid w:val="00697B39"/>
    <w:rsid w:val="006A5376"/>
    <w:rsid w:val="006B403F"/>
    <w:rsid w:val="006B4099"/>
    <w:rsid w:val="006D01D6"/>
    <w:rsid w:val="006D1A35"/>
    <w:rsid w:val="006D2AEC"/>
    <w:rsid w:val="006F19E4"/>
    <w:rsid w:val="006F2D17"/>
    <w:rsid w:val="006F3D0C"/>
    <w:rsid w:val="00710B90"/>
    <w:rsid w:val="00714D17"/>
    <w:rsid w:val="00720F0E"/>
    <w:rsid w:val="00726975"/>
    <w:rsid w:val="00727CBB"/>
    <w:rsid w:val="007324C2"/>
    <w:rsid w:val="00750DA4"/>
    <w:rsid w:val="0075306C"/>
    <w:rsid w:val="00763FEC"/>
    <w:rsid w:val="0077682D"/>
    <w:rsid w:val="00781EAE"/>
    <w:rsid w:val="007F55D8"/>
    <w:rsid w:val="00811E7A"/>
    <w:rsid w:val="00814D6C"/>
    <w:rsid w:val="008172D7"/>
    <w:rsid w:val="0082439E"/>
    <w:rsid w:val="00824769"/>
    <w:rsid w:val="008374E6"/>
    <w:rsid w:val="0086208E"/>
    <w:rsid w:val="00876415"/>
    <w:rsid w:val="0088205A"/>
    <w:rsid w:val="008B5C12"/>
    <w:rsid w:val="008C26A2"/>
    <w:rsid w:val="008C4D2E"/>
    <w:rsid w:val="008E27C7"/>
    <w:rsid w:val="008E3846"/>
    <w:rsid w:val="008E6CD5"/>
    <w:rsid w:val="008F59B1"/>
    <w:rsid w:val="009038B7"/>
    <w:rsid w:val="00904F83"/>
    <w:rsid w:val="00924F51"/>
    <w:rsid w:val="00936248"/>
    <w:rsid w:val="009463AE"/>
    <w:rsid w:val="00950138"/>
    <w:rsid w:val="009532FA"/>
    <w:rsid w:val="00967D9C"/>
    <w:rsid w:val="00974D84"/>
    <w:rsid w:val="0098620F"/>
    <w:rsid w:val="0099372F"/>
    <w:rsid w:val="009A29E7"/>
    <w:rsid w:val="009C6672"/>
    <w:rsid w:val="009D1FD9"/>
    <w:rsid w:val="009E187B"/>
    <w:rsid w:val="009E1985"/>
    <w:rsid w:val="009E6918"/>
    <w:rsid w:val="009F32E9"/>
    <w:rsid w:val="009F45D8"/>
    <w:rsid w:val="009F5EE8"/>
    <w:rsid w:val="00A00FF0"/>
    <w:rsid w:val="00A0242D"/>
    <w:rsid w:val="00A16472"/>
    <w:rsid w:val="00A20497"/>
    <w:rsid w:val="00A25B82"/>
    <w:rsid w:val="00A27B44"/>
    <w:rsid w:val="00A31421"/>
    <w:rsid w:val="00A325A6"/>
    <w:rsid w:val="00A34527"/>
    <w:rsid w:val="00A3563E"/>
    <w:rsid w:val="00A363F5"/>
    <w:rsid w:val="00A46C95"/>
    <w:rsid w:val="00A51CAB"/>
    <w:rsid w:val="00A55A68"/>
    <w:rsid w:val="00A6676D"/>
    <w:rsid w:val="00A70AE5"/>
    <w:rsid w:val="00A80ABB"/>
    <w:rsid w:val="00A8319B"/>
    <w:rsid w:val="00A866CE"/>
    <w:rsid w:val="00A90564"/>
    <w:rsid w:val="00A91487"/>
    <w:rsid w:val="00AA58B1"/>
    <w:rsid w:val="00AB7067"/>
    <w:rsid w:val="00AC611F"/>
    <w:rsid w:val="00AC6231"/>
    <w:rsid w:val="00AF21A4"/>
    <w:rsid w:val="00B372C7"/>
    <w:rsid w:val="00B426E1"/>
    <w:rsid w:val="00B72B50"/>
    <w:rsid w:val="00B72B6D"/>
    <w:rsid w:val="00BB776F"/>
    <w:rsid w:val="00BC4446"/>
    <w:rsid w:val="00BC4785"/>
    <w:rsid w:val="00BC5370"/>
    <w:rsid w:val="00BC6BAE"/>
    <w:rsid w:val="00C0122E"/>
    <w:rsid w:val="00C150C2"/>
    <w:rsid w:val="00C27607"/>
    <w:rsid w:val="00C31E17"/>
    <w:rsid w:val="00C36DA7"/>
    <w:rsid w:val="00C47E69"/>
    <w:rsid w:val="00C502D5"/>
    <w:rsid w:val="00C676D7"/>
    <w:rsid w:val="00C73EA6"/>
    <w:rsid w:val="00C7794A"/>
    <w:rsid w:val="00C90CB8"/>
    <w:rsid w:val="00CA48D7"/>
    <w:rsid w:val="00CA630E"/>
    <w:rsid w:val="00CB366F"/>
    <w:rsid w:val="00CD0094"/>
    <w:rsid w:val="00CD69D2"/>
    <w:rsid w:val="00CE1C69"/>
    <w:rsid w:val="00CE51BE"/>
    <w:rsid w:val="00CF15E7"/>
    <w:rsid w:val="00CF4AA0"/>
    <w:rsid w:val="00CF7462"/>
    <w:rsid w:val="00CF7DD2"/>
    <w:rsid w:val="00D01EF1"/>
    <w:rsid w:val="00D07333"/>
    <w:rsid w:val="00D114D9"/>
    <w:rsid w:val="00D12A17"/>
    <w:rsid w:val="00D13C14"/>
    <w:rsid w:val="00D15199"/>
    <w:rsid w:val="00D17386"/>
    <w:rsid w:val="00D25E76"/>
    <w:rsid w:val="00D26224"/>
    <w:rsid w:val="00D57DC1"/>
    <w:rsid w:val="00D61DC5"/>
    <w:rsid w:val="00D67AD6"/>
    <w:rsid w:val="00D67FC0"/>
    <w:rsid w:val="00D77636"/>
    <w:rsid w:val="00DA16A7"/>
    <w:rsid w:val="00DB3043"/>
    <w:rsid w:val="00DB67A3"/>
    <w:rsid w:val="00DB68C8"/>
    <w:rsid w:val="00DC6162"/>
    <w:rsid w:val="00DD4279"/>
    <w:rsid w:val="00E12BFE"/>
    <w:rsid w:val="00E25E89"/>
    <w:rsid w:val="00E32083"/>
    <w:rsid w:val="00E47347"/>
    <w:rsid w:val="00E54125"/>
    <w:rsid w:val="00E55ACB"/>
    <w:rsid w:val="00E57060"/>
    <w:rsid w:val="00E61795"/>
    <w:rsid w:val="00E70EA0"/>
    <w:rsid w:val="00E74CEE"/>
    <w:rsid w:val="00E7507E"/>
    <w:rsid w:val="00EB1960"/>
    <w:rsid w:val="00ED5EE1"/>
    <w:rsid w:val="00EF4BB6"/>
    <w:rsid w:val="00F20E99"/>
    <w:rsid w:val="00F431C7"/>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customStyle="1" w:styleId="VacancyHeading">
    <w:name w:val="Vacancy Heading"/>
    <w:basedOn w:val="Normal"/>
    <w:next w:val="Normal"/>
    <w:rsid w:val="008C26A2"/>
    <w:pPr>
      <w:spacing w:line="240" w:lineRule="auto"/>
      <w:outlineLvl w:val="3"/>
    </w:pPr>
    <w:rPr>
      <w:rFonts w:ascii="Times New Roman" w:hAnsi="Times New Roman"/>
      <w:b/>
      <w:sz w:val="20"/>
    </w:rPr>
  </w:style>
  <w:style w:type="paragraph" w:styleId="ListParagraph">
    <w:name w:val="List Paragraph"/>
    <w:basedOn w:val="Normal"/>
    <w:uiPriority w:val="34"/>
    <w:qFormat/>
    <w:rsid w:val="00720F0E"/>
    <w:pPr>
      <w:ind w:left="720"/>
      <w:contextualSpacing/>
    </w:pPr>
  </w:style>
  <w:style w:type="character" w:styleId="CommentReference">
    <w:name w:val="annotation reference"/>
    <w:basedOn w:val="DefaultParagraphFont"/>
    <w:uiPriority w:val="99"/>
    <w:semiHidden/>
    <w:unhideWhenUsed/>
    <w:rsid w:val="00097302"/>
    <w:rPr>
      <w:sz w:val="16"/>
      <w:szCs w:val="16"/>
    </w:rPr>
  </w:style>
  <w:style w:type="paragraph" w:styleId="CommentText">
    <w:name w:val="annotation text"/>
    <w:basedOn w:val="Normal"/>
    <w:link w:val="CommentTextChar"/>
    <w:uiPriority w:val="99"/>
    <w:semiHidden/>
    <w:unhideWhenUsed/>
    <w:rsid w:val="00097302"/>
    <w:pPr>
      <w:spacing w:line="240" w:lineRule="auto"/>
    </w:pPr>
    <w:rPr>
      <w:sz w:val="20"/>
    </w:rPr>
  </w:style>
  <w:style w:type="character" w:customStyle="1" w:styleId="CommentTextChar">
    <w:name w:val="Comment Text Char"/>
    <w:basedOn w:val="DefaultParagraphFont"/>
    <w:link w:val="CommentText"/>
    <w:uiPriority w:val="99"/>
    <w:semiHidden/>
    <w:rsid w:val="00097302"/>
    <w:rPr>
      <w:rFonts w:ascii="Arial" w:hAnsi="Arial"/>
    </w:rPr>
  </w:style>
  <w:style w:type="paragraph" w:styleId="CommentSubject">
    <w:name w:val="annotation subject"/>
    <w:basedOn w:val="CommentText"/>
    <w:next w:val="CommentText"/>
    <w:link w:val="CommentSubjectChar"/>
    <w:uiPriority w:val="99"/>
    <w:semiHidden/>
    <w:unhideWhenUsed/>
    <w:rsid w:val="00097302"/>
    <w:rPr>
      <w:b/>
      <w:bCs/>
    </w:rPr>
  </w:style>
  <w:style w:type="character" w:customStyle="1" w:styleId="CommentSubjectChar">
    <w:name w:val="Comment Subject Char"/>
    <w:basedOn w:val="CommentTextChar"/>
    <w:link w:val="CommentSubject"/>
    <w:uiPriority w:val="99"/>
    <w:semiHidden/>
    <w:rsid w:val="00097302"/>
    <w:rPr>
      <w:rFonts w:ascii="Arial" w:hAnsi="Arial"/>
      <w:b/>
      <w:bCs/>
    </w:rPr>
  </w:style>
  <w:style w:type="paragraph" w:styleId="NormalWeb">
    <w:name w:val="Normal (Web)"/>
    <w:basedOn w:val="Normal"/>
    <w:uiPriority w:val="99"/>
    <w:unhideWhenUsed/>
    <w:rsid w:val="00C676D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paragraph" w:styleId="FootnoteText">
    <w:name w:val="footnote text"/>
    <w:basedOn w:val="Normal"/>
    <w:link w:val="FootnoteTextChar"/>
    <w:uiPriority w:val="99"/>
    <w:semiHidden/>
    <w:unhideWhenUsed/>
    <w:rsid w:val="002C5DDF"/>
    <w:pPr>
      <w:spacing w:line="240" w:lineRule="auto"/>
    </w:pPr>
    <w:rPr>
      <w:sz w:val="20"/>
    </w:rPr>
  </w:style>
  <w:style w:type="character" w:customStyle="1" w:styleId="FootnoteTextChar">
    <w:name w:val="Footnote Text Char"/>
    <w:basedOn w:val="DefaultParagraphFont"/>
    <w:link w:val="FootnoteText"/>
    <w:uiPriority w:val="99"/>
    <w:semiHidden/>
    <w:rsid w:val="002C5DDF"/>
    <w:rPr>
      <w:rFonts w:ascii="Arial" w:hAnsi="Arial"/>
    </w:rPr>
  </w:style>
  <w:style w:type="character" w:styleId="FootnoteReference">
    <w:name w:val="footnote reference"/>
    <w:basedOn w:val="DefaultParagraphFont"/>
    <w:uiPriority w:val="99"/>
    <w:semiHidden/>
    <w:unhideWhenUsed/>
    <w:rsid w:val="002C5DDF"/>
    <w:rPr>
      <w:vertAlign w:val="superscript"/>
    </w:rPr>
  </w:style>
  <w:style w:type="table" w:styleId="MediumGrid3-Accent4">
    <w:name w:val="Medium Grid 3 Accent 4"/>
    <w:basedOn w:val="TableNormal"/>
    <w:uiPriority w:val="69"/>
    <w:rsid w:val="00BB77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302F9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cottish.parliament.uk/abouttheparliament/31351.aspx" TargetMode="External"/><Relationship Id="rId3" Type="http://schemas.openxmlformats.org/officeDocument/2006/relationships/customXml" Target="../customXml/item2.xml"/><Relationship Id="rId21" Type="http://schemas.openxmlformats.org/officeDocument/2006/relationships/hyperlink" Target="http://www.parliament.scot/abouttheparliament/91375.aspx"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scottish.parliament.uk/abouttheparliament/17133.asp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civilservice.gov.uk/pensions" TargetMode="External"/><Relationship Id="rId20" Type="http://schemas.openxmlformats.org/officeDocument/2006/relationships/hyperlink" Target="http://www.parliament.scot/abouttheparliament/108320.asp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jobs@parliament.scot"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scottish.parliament.uk/abouttheparliament/26069.aspx"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jobs@parliamen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IconOverlay xmlns="http://schemas.microsoft.com/sharepoint/v4"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02"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2b4ca00dd1cddc31dfeead453abd0ae0">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bb1625257c95bdcaaa8a77b8c279c16b"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1608-B6D7-4E25-8AC6-24709E4C24E0}">
  <ds:schemaRefs>
    <ds:schemaRef ds:uri="http://purl.org/dc/elements/1.1/"/>
    <ds:schemaRef ds:uri="http://schemas.microsoft.com/office/2006/metadata/properties"/>
    <ds:schemaRef ds:uri="http://schemas.microsoft.com/sharepoint/v4"/>
    <ds:schemaRef ds:uri="http://schemas.microsoft.com/office/2006/documentManagement/types"/>
    <ds:schemaRef ds:uri="http://schemas.microsoft.com/sharepoint/v3"/>
    <ds:schemaRef ds:uri="21141c76-a131-4377-97a3-508a419862f1"/>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ABAEDC2-8550-454B-A69C-BAED78F0CF53}">
  <ds:schemaRefs>
    <ds:schemaRef ds:uri="http://schemas.microsoft.com/office/2006/metadata/customXsn"/>
  </ds:schemaRefs>
</ds:datastoreItem>
</file>

<file path=customXml/itemProps3.xml><?xml version="1.0" encoding="utf-8"?>
<ds:datastoreItem xmlns:ds="http://schemas.openxmlformats.org/officeDocument/2006/customXml" ds:itemID="{D763DA01-BDD9-46FF-9A70-3AF1905C8F86}">
  <ds:schemaRefs>
    <ds:schemaRef ds:uri="Microsoft.SharePoint.Taxonomy.ContentTypeSync"/>
  </ds:schemaRefs>
</ds:datastoreItem>
</file>

<file path=customXml/itemProps4.xml><?xml version="1.0" encoding="utf-8"?>
<ds:datastoreItem xmlns:ds="http://schemas.openxmlformats.org/officeDocument/2006/customXml" ds:itemID="{ECB9132A-694F-480C-8087-65F2A596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6.xml><?xml version="1.0" encoding="utf-8"?>
<ds:datastoreItem xmlns:ds="http://schemas.openxmlformats.org/officeDocument/2006/customXml" ds:itemID="{C8D5E2E6-94CC-4C4E-8BC4-AA517A2D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Standard external application form</vt:lpstr>
    </vt:vector>
  </TitlesOfParts>
  <LinksUpToDate>false</LinksUpToDate>
  <CharactersWithSpaces>14817</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external application form</dc:title>
  <dc:creator/>
  <cp:lastModifiedBy/>
  <cp:revision>1</cp:revision>
  <dcterms:created xsi:type="dcterms:W3CDTF">2018-09-13T11:04:00Z</dcterms:created>
  <dcterms:modified xsi:type="dcterms:W3CDTF">2018-09-25T14:52:00Z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Temporary</vt:lpwstr>
  </property>
  <property fmtid="{D5CDD505-2E9C-101B-9397-08002B2CF9AE}" pid="12" name="Competition type">
    <vt:lpwstr>External</vt:lpwstr>
  </property>
  <property fmtid="{D5CDD505-2E9C-101B-9397-08002B2CF9AE}" pid="13" name="SPS Office">
    <vt:lpwstr/>
  </property>
  <property fmtid="{D5CDD505-2E9C-101B-9397-08002B2CF9AE}" pid="14" name="Name and pay ref.">
    <vt:lpwstr/>
  </property>
  <property fmtid="{D5CDD505-2E9C-101B-9397-08002B2CF9AE}" pid="15" name="_dlc_policyId">
    <vt:lpwstr/>
  </property>
  <property fmtid="{D5CDD505-2E9C-101B-9397-08002B2CF9AE}" pid="16" name="ItemRetentionFormula">
    <vt:lpwstr/>
  </property>
  <property fmtid="{D5CDD505-2E9C-101B-9397-08002B2CF9AE}" pid="17" name="IsMyDocuments">
    <vt:bool>true</vt:bool>
  </property>
  <property fmtid="{D5CDD505-2E9C-101B-9397-08002B2CF9AE}" pid="18" name="h05e5555bb094953b55e23faf9bad8a6">
    <vt:lpwstr/>
  </property>
  <property fmtid="{D5CDD505-2E9C-101B-9397-08002B2CF9AE}" pid="19" name="Disposal reviewer details">
    <vt:lpwstr/>
  </property>
  <property fmtid="{D5CDD505-2E9C-101B-9397-08002B2CF9AE}" pid="20" name="Disposal authorised by">
    <vt:lpwstr/>
  </property>
</Properties>
</file>